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F169C8">
      <w:pPr>
        <w:rPr>
          <w:sz w:val="48"/>
          <w:szCs w:val="48"/>
        </w:rPr>
      </w:pPr>
      <w:bookmarkStart w:id="0" w:name="_Hlk145335545"/>
      <w:bookmarkStart w:id="1" w:name="_Hlk181949983"/>
      <w:bookmarkStart w:id="2" w:name="_Hlk145335633"/>
    </w:p>
    <w:p w14:paraId="6D7413AA">
      <w:pPr>
        <w:rPr>
          <w:sz w:val="44"/>
          <w:szCs w:val="44"/>
        </w:rPr>
      </w:pPr>
    </w:p>
    <w:p w14:paraId="1923642F">
      <w:pPr>
        <w:rPr>
          <w:sz w:val="44"/>
          <w:szCs w:val="44"/>
        </w:rPr>
      </w:pPr>
    </w:p>
    <w:p w14:paraId="7DC729A0">
      <w:pPr>
        <w:jc w:val="center"/>
        <w:rPr>
          <w:b/>
          <w:sz w:val="28"/>
          <w:szCs w:val="28"/>
        </w:rPr>
      </w:pPr>
      <w:r>
        <w:rPr>
          <w:b/>
          <w:sz w:val="28"/>
          <w:szCs w:val="28"/>
        </w:rPr>
        <w:t>核技术利用建设项目</w:t>
      </w:r>
    </w:p>
    <w:p w14:paraId="54BE9D0E">
      <w:pPr>
        <w:jc w:val="center"/>
        <w:rPr>
          <w:b/>
          <w:bCs/>
          <w:sz w:val="32"/>
          <w:szCs w:val="32"/>
        </w:rPr>
      </w:pPr>
      <w:bookmarkStart w:id="3" w:name="_Toc71554989"/>
      <w:bookmarkStart w:id="4" w:name="_Toc481084395"/>
      <w:bookmarkStart w:id="5" w:name="_Toc34738542"/>
      <w:bookmarkStart w:id="6" w:name="_Hlk176353563"/>
      <w:bookmarkStart w:id="7" w:name="_Toc487527975"/>
      <w:bookmarkStart w:id="8" w:name="_Toc71554433"/>
      <w:bookmarkStart w:id="9" w:name="_Toc72848590"/>
      <w:bookmarkStart w:id="10" w:name="_Toc487619262"/>
      <w:bookmarkStart w:id="11" w:name="_Toc16264630"/>
      <w:bookmarkStart w:id="12" w:name="_Toc23257551"/>
      <w:bookmarkStart w:id="13" w:name="_Toc23846449"/>
      <w:bookmarkStart w:id="14" w:name="_Toc34298275"/>
      <w:bookmarkStart w:id="15" w:name="_Toc476318964"/>
      <w:bookmarkStart w:id="16" w:name="_Toc486532495"/>
      <w:bookmarkStart w:id="17" w:name="_Toc15765234"/>
      <w:bookmarkStart w:id="18" w:name="_Toc63692951"/>
      <w:bookmarkStart w:id="19" w:name="_Toc21597412"/>
      <w:bookmarkStart w:id="20" w:name="_Toc67427989"/>
      <w:bookmarkStart w:id="21" w:name="_Toc21622160"/>
      <w:bookmarkStart w:id="22" w:name="_Toc34645516"/>
      <w:bookmarkStart w:id="23" w:name="_Toc59131882"/>
      <w:bookmarkStart w:id="24" w:name="_Toc19546282"/>
      <w:bookmarkStart w:id="25" w:name="_Toc24548574"/>
      <w:bookmarkStart w:id="26" w:name="_Toc34733033"/>
      <w:bookmarkStart w:id="27" w:name="_Toc23952599"/>
      <w:bookmarkStart w:id="28" w:name="_Toc34733407"/>
      <w:r>
        <w:rPr>
          <w:b/>
          <w:bCs/>
          <w:sz w:val="32"/>
          <w:szCs w:val="32"/>
        </w:rPr>
        <w:t>广州科学城质子治疗中心新建项目环境影响报告书</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14:paraId="2F9BFE8C"/>
    <w:p w14:paraId="0E81203F">
      <w:pPr>
        <w:jc w:val="center"/>
        <w:rPr>
          <w:b/>
          <w:bCs/>
          <w:sz w:val="32"/>
          <w:szCs w:val="32"/>
        </w:rPr>
      </w:pPr>
      <w:r>
        <w:rPr>
          <w:b/>
          <w:bCs/>
          <w:sz w:val="32"/>
          <w:szCs w:val="32"/>
        </w:rPr>
        <w:t>（第二次信息公开文本）</w:t>
      </w:r>
    </w:p>
    <w:p w14:paraId="0ABECD22">
      <w:pPr>
        <w:spacing w:line="480" w:lineRule="auto"/>
        <w:rPr>
          <w:b/>
          <w:sz w:val="52"/>
          <w:szCs w:val="52"/>
        </w:rPr>
      </w:pPr>
    </w:p>
    <w:p w14:paraId="54D04653">
      <w:pPr>
        <w:spacing w:line="480" w:lineRule="auto"/>
        <w:jc w:val="center"/>
        <w:rPr>
          <w:b/>
          <w:sz w:val="52"/>
          <w:szCs w:val="52"/>
        </w:rPr>
      </w:pPr>
    </w:p>
    <w:p w14:paraId="5526C81A">
      <w:pPr>
        <w:spacing w:line="480" w:lineRule="auto"/>
        <w:jc w:val="center"/>
        <w:rPr>
          <w:b/>
          <w:sz w:val="52"/>
          <w:szCs w:val="52"/>
        </w:rPr>
      </w:pPr>
    </w:p>
    <w:p w14:paraId="4BD76124">
      <w:pPr>
        <w:spacing w:line="480" w:lineRule="auto"/>
        <w:jc w:val="center"/>
        <w:rPr>
          <w:b/>
          <w:sz w:val="52"/>
          <w:szCs w:val="52"/>
        </w:rPr>
      </w:pPr>
    </w:p>
    <w:p w14:paraId="20B677CC">
      <w:pPr>
        <w:spacing w:line="480" w:lineRule="auto"/>
        <w:jc w:val="center"/>
        <w:rPr>
          <w:b/>
          <w:sz w:val="52"/>
          <w:szCs w:val="52"/>
        </w:rPr>
      </w:pPr>
    </w:p>
    <w:p w14:paraId="131E9F29">
      <w:pPr>
        <w:spacing w:line="480" w:lineRule="auto"/>
        <w:jc w:val="center"/>
        <w:rPr>
          <w:b/>
          <w:sz w:val="52"/>
          <w:szCs w:val="52"/>
        </w:rPr>
      </w:pPr>
    </w:p>
    <w:p w14:paraId="18CC9767">
      <w:pPr>
        <w:spacing w:line="480" w:lineRule="auto"/>
        <w:jc w:val="center"/>
        <w:rPr>
          <w:b/>
          <w:sz w:val="52"/>
          <w:szCs w:val="52"/>
        </w:rPr>
      </w:pPr>
    </w:p>
    <w:p w14:paraId="7BD90409">
      <w:pPr>
        <w:spacing w:line="480" w:lineRule="auto"/>
        <w:jc w:val="center"/>
        <w:rPr>
          <w:b/>
          <w:sz w:val="52"/>
          <w:szCs w:val="52"/>
        </w:rPr>
      </w:pPr>
    </w:p>
    <w:p w14:paraId="4F7CC142">
      <w:pPr>
        <w:spacing w:line="480" w:lineRule="auto"/>
        <w:jc w:val="center"/>
        <w:rPr>
          <w:b/>
          <w:sz w:val="28"/>
          <w:szCs w:val="28"/>
        </w:rPr>
      </w:pPr>
      <w:r>
        <w:rPr>
          <w:b/>
          <w:sz w:val="28"/>
          <w:szCs w:val="28"/>
        </w:rPr>
        <w:t>中山大学附属第三医院岭南医院</w:t>
      </w:r>
    </w:p>
    <w:p w14:paraId="000EE1B7">
      <w:pPr>
        <w:spacing w:line="480" w:lineRule="auto"/>
        <w:jc w:val="center"/>
        <w:rPr>
          <w:b/>
          <w:sz w:val="28"/>
          <w:szCs w:val="28"/>
        </w:rPr>
      </w:pPr>
      <w:r>
        <w:rPr>
          <w:b/>
          <w:sz w:val="28"/>
          <w:szCs w:val="28"/>
        </w:rPr>
        <w:t>2025年9月</w:t>
      </w:r>
    </w:p>
    <w:p w14:paraId="55F5C9B3">
      <w:pPr>
        <w:spacing w:line="480" w:lineRule="auto"/>
        <w:jc w:val="center"/>
        <w:rPr>
          <w:sz w:val="28"/>
          <w:szCs w:val="28"/>
        </w:rPr>
      </w:pPr>
    </w:p>
    <w:p w14:paraId="471AA9F9">
      <w:pPr>
        <w:rPr>
          <w:sz w:val="44"/>
          <w:szCs w:val="44"/>
        </w:rP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fmt="upperRoman"/>
          <w:cols w:space="720" w:num="1"/>
          <w:titlePg/>
          <w:docGrid w:type="lines" w:linePitch="312" w:charSpace="0"/>
        </w:sectPr>
      </w:pPr>
    </w:p>
    <w:bookmarkEnd w:id="0"/>
    <w:bookmarkEnd w:id="1"/>
    <w:bookmarkEnd w:id="2"/>
    <w:p w14:paraId="210ACCE6">
      <w:pPr>
        <w:spacing w:before="156" w:beforeLines="50" w:after="156" w:afterLines="50" w:line="360" w:lineRule="auto"/>
        <w:jc w:val="center"/>
        <w:rPr>
          <w:sz w:val="24"/>
          <w:szCs w:val="22"/>
        </w:rPr>
      </w:pPr>
      <w:r>
        <w:rPr>
          <w:sz w:val="24"/>
          <w:szCs w:val="22"/>
        </w:rPr>
        <w:t>说明</w:t>
      </w:r>
    </w:p>
    <w:p w14:paraId="36635784">
      <w:pPr>
        <w:spacing w:before="156" w:beforeLines="50" w:after="156" w:afterLines="50" w:line="360" w:lineRule="auto"/>
        <w:ind w:firstLine="480" w:firstLineChars="200"/>
        <w:rPr>
          <w:sz w:val="24"/>
          <w:szCs w:val="22"/>
        </w:rPr>
      </w:pPr>
      <w:r>
        <w:rPr>
          <w:sz w:val="24"/>
          <w:szCs w:val="22"/>
        </w:rPr>
        <w:t>中国原子能科学研究院受</w:t>
      </w:r>
      <w:r>
        <w:rPr>
          <w:rFonts w:hint="eastAsia"/>
          <w:sz w:val="24"/>
          <w:szCs w:val="22"/>
        </w:rPr>
        <w:t>广州开发区财政投资建设区建管中心（以下简称“区建管中心”）</w:t>
      </w:r>
      <w:r>
        <w:rPr>
          <w:sz w:val="24"/>
          <w:szCs w:val="22"/>
        </w:rPr>
        <w:t>委托</w:t>
      </w:r>
      <w:r>
        <w:rPr>
          <w:rFonts w:hint="eastAsia"/>
          <w:sz w:val="24"/>
          <w:szCs w:val="22"/>
        </w:rPr>
        <w:t>，</w:t>
      </w:r>
      <w:r>
        <w:rPr>
          <w:sz w:val="24"/>
          <w:szCs w:val="22"/>
        </w:rPr>
        <w:t>开展广州科学城质子治疗中心新建项目的环境影响评价。</w:t>
      </w:r>
      <w:r>
        <w:rPr>
          <w:rFonts w:hint="eastAsia"/>
          <w:sz w:val="24"/>
          <w:szCs w:val="22"/>
        </w:rPr>
        <w:t>该项目由</w:t>
      </w:r>
      <w:r>
        <w:rPr>
          <w:rFonts w:hint="eastAsia"/>
          <w:sz w:val="24"/>
          <w:szCs w:val="22"/>
          <w:lang w:val="en-US" w:eastAsia="zh-CN"/>
        </w:rPr>
        <w:t>黄埔区</w:t>
      </w:r>
      <w:bookmarkStart w:id="759" w:name="_GoBack"/>
      <w:bookmarkEnd w:id="759"/>
      <w:r>
        <w:rPr>
          <w:rFonts w:hint="eastAsia"/>
          <w:sz w:val="24"/>
          <w:szCs w:val="22"/>
        </w:rPr>
        <w:t>卫生健康局主管，代建单位为区建管中心，建设单位为</w:t>
      </w:r>
      <w:r>
        <w:rPr>
          <w:sz w:val="24"/>
          <w:szCs w:val="22"/>
        </w:rPr>
        <w:t>中山大学附属第三医院岭南医院</w:t>
      </w:r>
      <w:r>
        <w:rPr>
          <w:rFonts w:hint="eastAsia"/>
          <w:sz w:val="24"/>
          <w:szCs w:val="22"/>
        </w:rPr>
        <w:t>。</w:t>
      </w:r>
      <w:r>
        <w:rPr>
          <w:sz w:val="24"/>
          <w:szCs w:val="22"/>
        </w:rPr>
        <w:t>现根据国家及本省法规及规定，并经</w:t>
      </w:r>
      <w:r>
        <w:rPr>
          <w:rFonts w:hint="eastAsia"/>
          <w:sz w:val="24"/>
          <w:szCs w:val="22"/>
        </w:rPr>
        <w:t>区建管中心及</w:t>
      </w:r>
      <w:r>
        <w:rPr>
          <w:sz w:val="24"/>
          <w:szCs w:val="22"/>
        </w:rPr>
        <w:t>中山大学附属第三医院岭南医院同意</w:t>
      </w:r>
      <w:r>
        <w:rPr>
          <w:rFonts w:hint="eastAsia"/>
          <w:sz w:val="24"/>
          <w:szCs w:val="22"/>
        </w:rPr>
        <w:t>，</w:t>
      </w:r>
      <w:r>
        <w:rPr>
          <w:sz w:val="24"/>
          <w:szCs w:val="22"/>
        </w:rPr>
        <w:t>向公众进行第二次信息发布，公开环评内容。</w:t>
      </w:r>
    </w:p>
    <w:p w14:paraId="1C213321">
      <w:pPr>
        <w:spacing w:before="156" w:beforeLines="50" w:after="156" w:afterLines="50" w:line="360" w:lineRule="auto"/>
        <w:ind w:firstLine="480" w:firstLineChars="200"/>
        <w:rPr>
          <w:sz w:val="24"/>
          <w:szCs w:val="22"/>
        </w:rPr>
      </w:pPr>
      <w:r>
        <w:rPr>
          <w:sz w:val="24"/>
          <w:szCs w:val="22"/>
        </w:rPr>
        <w:t>本文本内容为现阶段环评成果。下一阶段，将在听取公众、专家等各方面意见的基础上，进一步修改完善。</w:t>
      </w:r>
    </w:p>
    <w:p w14:paraId="7C940D33">
      <w:pPr>
        <w:spacing w:before="120" w:after="120" w:line="360" w:lineRule="auto"/>
        <w:rPr>
          <w:b/>
          <w:bCs/>
          <w:sz w:val="30"/>
          <w:szCs w:val="30"/>
        </w:rPr>
        <w:sectPr>
          <w:footerReference r:id="rId10" w:type="first"/>
          <w:footerReference r:id="rId9" w:type="default"/>
          <w:pgSz w:w="11906" w:h="16838"/>
          <w:pgMar w:top="1701" w:right="1701" w:bottom="1701" w:left="1701" w:header="851" w:footer="992" w:gutter="0"/>
          <w:pgNumType w:fmt="upperRoman" w:start="1"/>
          <w:cols w:space="720" w:num="1"/>
          <w:docGrid w:type="lines" w:linePitch="312" w:charSpace="0"/>
        </w:sectPr>
      </w:pPr>
    </w:p>
    <w:p w14:paraId="13A107CB">
      <w:pPr>
        <w:pStyle w:val="156"/>
        <w:jc w:val="center"/>
        <w:rPr>
          <w:rFonts w:ascii="Times New Roman" w:hAnsi="Times New Roman"/>
          <w:color w:val="auto"/>
        </w:rPr>
      </w:pPr>
      <w:r>
        <w:rPr>
          <w:rFonts w:ascii="Times New Roman" w:hAnsi="Times New Roman"/>
          <w:color w:val="auto"/>
          <w:lang w:val="zh-CN" w:eastAsia="zh-CN"/>
        </w:rPr>
        <w:t>目录</w:t>
      </w:r>
    </w:p>
    <w:p w14:paraId="22DD997F">
      <w:pPr>
        <w:pStyle w:val="30"/>
        <w:rPr>
          <w:rFonts w:eastAsiaTheme="minorEastAsia"/>
          <w:kern w:val="2"/>
          <w:sz w:val="22"/>
          <w14:ligatures w14:val="standardContextual"/>
        </w:rPr>
      </w:pPr>
      <w:r>
        <w:rPr>
          <w:caps/>
        </w:rPr>
        <w:fldChar w:fldCharType="begin"/>
      </w:r>
      <w:r>
        <w:instrText xml:space="preserve"> TOC \o "1-3" \h \z \u </w:instrText>
      </w:r>
      <w:r>
        <w:rPr>
          <w:caps/>
        </w:rPr>
        <w:fldChar w:fldCharType="separate"/>
      </w:r>
      <w:r>
        <w:fldChar w:fldCharType="begin"/>
      </w:r>
      <w:r>
        <w:instrText xml:space="preserve"> HYPERLINK \l "_Toc209125177" </w:instrText>
      </w:r>
      <w:r>
        <w:fldChar w:fldCharType="separate"/>
      </w:r>
      <w:r>
        <w:rPr>
          <w:rStyle w:val="53"/>
        </w:rPr>
        <w:t>1</w:t>
      </w:r>
      <w:r>
        <w:rPr>
          <w:rFonts w:eastAsiaTheme="minorEastAsia"/>
          <w:kern w:val="2"/>
          <w:sz w:val="22"/>
          <w14:ligatures w14:val="standardContextual"/>
        </w:rPr>
        <w:tab/>
      </w:r>
      <w:r>
        <w:rPr>
          <w:rStyle w:val="53"/>
        </w:rPr>
        <w:t>概述</w:t>
      </w:r>
      <w:r>
        <w:tab/>
      </w:r>
      <w:r>
        <w:fldChar w:fldCharType="begin"/>
      </w:r>
      <w:r>
        <w:instrText xml:space="preserve"> PAGEREF _Toc209125177 \h </w:instrText>
      </w:r>
      <w:r>
        <w:fldChar w:fldCharType="separate"/>
      </w:r>
      <w:r>
        <w:t>1</w:t>
      </w:r>
      <w:r>
        <w:fldChar w:fldCharType="end"/>
      </w:r>
      <w:r>
        <w:fldChar w:fldCharType="end"/>
      </w:r>
    </w:p>
    <w:p w14:paraId="2A567448">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"_Toc209125178" </w:instrText>
      </w:r>
      <w:r>
        <w:fldChar w:fldCharType="separate"/>
      </w:r>
      <w:r>
        <w:rPr>
          <w:rStyle w:val="53"/>
          <w:rFonts w:ascii="Times New Roman" w:hAnsi="Times New Roman" w:cs="Times New Roman"/>
        </w:rPr>
        <w:t>1.1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项目名称、地点</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_Toc209125178 \h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fldChar w:fldCharType="end"/>
      </w:r>
    </w:p>
    <w:p w14:paraId="51B7AB26">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"_Toc209125179" </w:instrText>
      </w:r>
      <w:r>
        <w:fldChar w:fldCharType="separate"/>
      </w:r>
      <w:r>
        <w:rPr>
          <w:rStyle w:val="53"/>
          <w:rFonts w:ascii="Times New Roman" w:hAnsi="Times New Roman" w:cs="Times New Roman"/>
        </w:rPr>
        <w:t>1.2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项目概况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_Toc209125179 \h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fldChar w:fldCharType="end"/>
      </w:r>
    </w:p>
    <w:p w14:paraId="0E2DA51A">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"_Toc209125180" </w:instrText>
      </w:r>
      <w:r>
        <w:fldChar w:fldCharType="separate"/>
      </w:r>
      <w:r>
        <w:rPr>
          <w:rStyle w:val="53"/>
          <w:rFonts w:ascii="Times New Roman" w:hAnsi="Times New Roman" w:cs="Times New Roman"/>
        </w:rPr>
        <w:t>1.2.1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建设单位概况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_Toc209125180 \h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rPr>
        <w:fldChar w:fldCharType="end"/>
      </w:r>
    </w:p>
    <w:p w14:paraId="08239730">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"_Toc209125181" </w:instrText>
      </w:r>
      <w:r>
        <w:fldChar w:fldCharType="separate"/>
      </w:r>
      <w:r>
        <w:rPr>
          <w:rStyle w:val="53"/>
          <w:rFonts w:ascii="Times New Roman" w:hAnsi="Times New Roman" w:cs="Times New Roman"/>
        </w:rPr>
        <w:t>1.2.2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项目背景、意义</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_Toc209125181 \h </w:instrText>
      </w:r>
      <w:r>
        <w:rPr>
          <w:rFonts w:ascii="Times New Roman" w:hAnsi="Times New Roman" w:cs="Times New Roman"/>
        </w:rPr>
        <w:fldChar w:fldCharType="separate"/>
      </w:r>
      <w:r>
        <w:rPr>
          <w:rFonts w:ascii="Times New Roman" w:hAnsi="Times New Roman" w:cs="Times New Roman"/>
        </w:rPr>
        <w:t>2</w:t>
      </w:r>
      <w:r>
        <w:rPr>
          <w:rFonts w:ascii="Times New Roman" w:hAnsi="Times New Roman" w:cs="Times New Roman"/>
        </w:rPr>
        <w:fldChar w:fldCharType="end"/>
      </w:r>
      <w:r>
        <w:rPr>
          <w:rFonts w:ascii="Times New Roman" w:hAnsi="Times New Roman" w:cs="Times New Roman"/>
        </w:rPr>
        <w:fldChar w:fldCharType="end"/>
      </w:r>
    </w:p>
    <w:p w14:paraId="586BBD84">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"_Toc209125182" </w:instrText>
      </w:r>
      <w:r>
        <w:fldChar w:fldCharType="separate"/>
      </w:r>
      <w:r>
        <w:rPr>
          <w:rStyle w:val="53"/>
          <w:rFonts w:ascii="Times New Roman" w:hAnsi="Times New Roman" w:cs="Times New Roman"/>
        </w:rPr>
        <w:t>1.2.3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本次环评内容</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_Toc209125182 \h </w:instrText>
      </w:r>
      <w:r>
        <w:rPr>
          <w:rFonts w:ascii="Times New Roman" w:hAnsi="Times New Roman" w:cs="Times New Roman"/>
        </w:rPr>
        <w:fldChar w:fldCharType="separate"/>
      </w:r>
      <w:r>
        <w:rPr>
          <w:rFonts w:ascii="Times New Roman" w:hAnsi="Times New Roman" w:cs="Times New Roman"/>
        </w:rPr>
        <w:t>3</w:t>
      </w:r>
      <w:r>
        <w:rPr>
          <w:rFonts w:ascii="Times New Roman" w:hAnsi="Times New Roman" w:cs="Times New Roman"/>
        </w:rPr>
        <w:fldChar w:fldCharType="end"/>
      </w:r>
      <w:r>
        <w:rPr>
          <w:rFonts w:ascii="Times New Roman" w:hAnsi="Times New Roman" w:cs="Times New Roman"/>
        </w:rPr>
        <w:fldChar w:fldCharType="end"/>
      </w:r>
    </w:p>
    <w:p w14:paraId="385249D2">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"_Toc209125183" </w:instrText>
      </w:r>
      <w:r>
        <w:fldChar w:fldCharType="separate"/>
      </w:r>
      <w:r>
        <w:rPr>
          <w:rStyle w:val="53"/>
          <w:rFonts w:ascii="Times New Roman" w:hAnsi="Times New Roman" w:cs="Times New Roman"/>
        </w:rPr>
        <w:t>1.2.4</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产业政策和规划符合性</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_Toc209125183 \h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r>
        <w:rPr>
          <w:rFonts w:ascii="Times New Roman" w:hAnsi="Times New Roman" w:cs="Times New Roman"/>
        </w:rPr>
        <w:fldChar w:fldCharType="end"/>
      </w:r>
    </w:p>
    <w:p w14:paraId="47E6C119">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"_Toc209125184" </w:instrText>
      </w:r>
      <w:r>
        <w:fldChar w:fldCharType="separate"/>
      </w:r>
      <w:r>
        <w:rPr>
          <w:rStyle w:val="53"/>
          <w:rFonts w:ascii="Times New Roman" w:hAnsi="Times New Roman" w:cs="Times New Roman"/>
        </w:rPr>
        <w:t>1.2.5</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周围环境概况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_Toc209125184 \h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r>
        <w:rPr>
          <w:rFonts w:ascii="Times New Roman" w:hAnsi="Times New Roman" w:cs="Times New Roman"/>
        </w:rPr>
        <w:fldChar w:fldCharType="end"/>
      </w:r>
    </w:p>
    <w:p w14:paraId="7A8AC4AE">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"_Toc209125185" </w:instrText>
      </w:r>
      <w:r>
        <w:fldChar w:fldCharType="separate"/>
      </w:r>
      <w:r>
        <w:rPr>
          <w:rStyle w:val="53"/>
          <w:rFonts w:ascii="Times New Roman" w:hAnsi="Times New Roman" w:cs="Times New Roman"/>
        </w:rPr>
        <w:t>1.2.6</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核技术利用及辐射安全管理现状</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_Toc209125185 \h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r>
        <w:rPr>
          <w:rFonts w:ascii="Times New Roman" w:hAnsi="Times New Roman" w:cs="Times New Roman"/>
        </w:rPr>
        <w:fldChar w:fldCharType="end"/>
      </w:r>
    </w:p>
    <w:p w14:paraId="38A836EE">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"_Toc209125186" </w:instrText>
      </w:r>
      <w:r>
        <w:fldChar w:fldCharType="separate"/>
      </w:r>
      <w:r>
        <w:rPr>
          <w:rStyle w:val="53"/>
          <w:rFonts w:ascii="Times New Roman" w:hAnsi="Times New Roman" w:cs="Times New Roman"/>
        </w:rPr>
        <w:t>1.3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编制依据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_Toc209125186 \h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r>
        <w:rPr>
          <w:rFonts w:ascii="Times New Roman" w:hAnsi="Times New Roman" w:cs="Times New Roman"/>
        </w:rPr>
        <w:fldChar w:fldCharType="end"/>
      </w:r>
    </w:p>
    <w:p w14:paraId="28501BB5">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"_Toc209125187" </w:instrText>
      </w:r>
      <w:r>
        <w:fldChar w:fldCharType="separate"/>
      </w:r>
      <w:r>
        <w:rPr>
          <w:rStyle w:val="53"/>
          <w:rFonts w:ascii="Times New Roman" w:hAnsi="Times New Roman" w:cs="Times New Roman"/>
        </w:rPr>
        <w:t>1.3.1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法律、法规和规章</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_Toc209125187 \h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r>
        <w:rPr>
          <w:rFonts w:ascii="Times New Roman" w:hAnsi="Times New Roman" w:cs="Times New Roman"/>
        </w:rPr>
        <w:fldChar w:fldCharType="end"/>
      </w:r>
    </w:p>
    <w:p w14:paraId="2443C107">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"_Toc209125188" </w:instrText>
      </w:r>
      <w:r>
        <w:fldChar w:fldCharType="separate"/>
      </w:r>
      <w:r>
        <w:rPr>
          <w:rStyle w:val="53"/>
          <w:rFonts w:ascii="Times New Roman" w:hAnsi="Times New Roman" w:cs="Times New Roman"/>
        </w:rPr>
        <w:t>1.3.2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技术导则、标准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_Toc209125188 \h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r>
        <w:rPr>
          <w:rFonts w:ascii="Times New Roman" w:hAnsi="Times New Roman" w:cs="Times New Roman"/>
        </w:rPr>
        <w:fldChar w:fldCharType="end"/>
      </w:r>
    </w:p>
    <w:p w14:paraId="5650EDF4">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"_Toc209125189" </w:instrText>
      </w:r>
      <w:r>
        <w:fldChar w:fldCharType="separate"/>
      </w:r>
      <w:r>
        <w:rPr>
          <w:rStyle w:val="53"/>
          <w:rFonts w:ascii="Times New Roman" w:hAnsi="Times New Roman" w:cs="Times New Roman"/>
        </w:rPr>
        <w:t>1.3.3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其它文件、资料</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_Toc209125189 \h </w:instrText>
      </w:r>
      <w:r>
        <w:rPr>
          <w:rFonts w:ascii="Times New Roman" w:hAnsi="Times New Roman" w:cs="Times New Roman"/>
        </w:rPr>
        <w:fldChar w:fldCharType="separate"/>
      </w:r>
      <w:r>
        <w:rPr>
          <w:rFonts w:ascii="Times New Roman" w:hAnsi="Times New Roman" w:cs="Times New Roman"/>
        </w:rPr>
        <w:t>22</w:t>
      </w:r>
      <w:r>
        <w:rPr>
          <w:rFonts w:ascii="Times New Roman" w:hAnsi="Times New Roman" w:cs="Times New Roman"/>
        </w:rPr>
        <w:fldChar w:fldCharType="end"/>
      </w:r>
      <w:r>
        <w:rPr>
          <w:rFonts w:ascii="Times New Roman" w:hAnsi="Times New Roman" w:cs="Times New Roman"/>
        </w:rPr>
        <w:fldChar w:fldCharType="end"/>
      </w:r>
    </w:p>
    <w:p w14:paraId="79C57D42">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"_Toc209125190" </w:instrText>
      </w:r>
      <w:r>
        <w:fldChar w:fldCharType="separate"/>
      </w:r>
      <w:r>
        <w:rPr>
          <w:rStyle w:val="53"/>
          <w:rFonts w:ascii="Times New Roman" w:hAnsi="Times New Roman" w:cs="Times New Roman"/>
        </w:rPr>
        <w:t>1.4</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评价标准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_Toc209125190 \h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r>
        <w:rPr>
          <w:rFonts w:ascii="Times New Roman" w:hAnsi="Times New Roman" w:cs="Times New Roman"/>
        </w:rPr>
        <w:fldChar w:fldCharType="end"/>
      </w:r>
    </w:p>
    <w:p w14:paraId="28634217">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"_Toc209125191" </w:instrText>
      </w:r>
      <w:r>
        <w:fldChar w:fldCharType="separate"/>
      </w:r>
      <w:r>
        <w:rPr>
          <w:rStyle w:val="53"/>
          <w:rFonts w:ascii="Times New Roman" w:hAnsi="Times New Roman" w:cs="Times New Roman"/>
        </w:rPr>
        <w:t>1.4.1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剂量限值和剂量约束值</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_Toc209125191 \h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r>
        <w:rPr>
          <w:rFonts w:ascii="Times New Roman" w:hAnsi="Times New Roman" w:cs="Times New Roman"/>
        </w:rPr>
        <w:fldChar w:fldCharType="end"/>
      </w:r>
    </w:p>
    <w:p w14:paraId="02EB429A">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"_Toc209125192" </w:instrText>
      </w:r>
      <w:r>
        <w:fldChar w:fldCharType="separate"/>
      </w:r>
      <w:r>
        <w:rPr>
          <w:rStyle w:val="53"/>
          <w:rFonts w:ascii="Times New Roman" w:hAnsi="Times New Roman" w:cs="Times New Roman"/>
        </w:rPr>
        <w:t>1.4.2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辐射工作场所屏蔽体外剂量率控制水平</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_Toc209125192 \h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r>
        <w:rPr>
          <w:rFonts w:ascii="Times New Roman" w:hAnsi="Times New Roman" w:cs="Times New Roman"/>
        </w:rPr>
        <w:fldChar w:fldCharType="end"/>
      </w:r>
    </w:p>
    <w:p w14:paraId="1666C40C">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"_Toc209125193" </w:instrText>
      </w:r>
      <w:r>
        <w:fldChar w:fldCharType="separate"/>
      </w:r>
      <w:r>
        <w:rPr>
          <w:rStyle w:val="53"/>
          <w:rFonts w:ascii="Times New Roman" w:hAnsi="Times New Roman" w:cs="Times New Roman"/>
        </w:rPr>
        <w:t>1.4.3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放射性三废控制要求</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_Toc209125193 \h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r>
        <w:rPr>
          <w:rFonts w:ascii="Times New Roman" w:hAnsi="Times New Roman" w:cs="Times New Roman"/>
        </w:rPr>
        <w:fldChar w:fldCharType="end"/>
      </w:r>
    </w:p>
    <w:p w14:paraId="7F7BB961">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"_Toc209125194" </w:instrText>
      </w:r>
      <w:r>
        <w:fldChar w:fldCharType="separate"/>
      </w:r>
      <w:r>
        <w:rPr>
          <w:rStyle w:val="53"/>
          <w:rFonts w:ascii="Times New Roman" w:hAnsi="Times New Roman" w:cs="Times New Roman"/>
        </w:rPr>
        <w:t>1.4.4</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其他标准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_Toc209125194 \h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fldChar w:fldCharType="end"/>
      </w:r>
    </w:p>
    <w:p w14:paraId="4883B7D9">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"_Toc209125195" </w:instrText>
      </w:r>
      <w:r>
        <w:fldChar w:fldCharType="separate"/>
      </w:r>
      <w:r>
        <w:rPr>
          <w:rStyle w:val="53"/>
          <w:rFonts w:ascii="Times New Roman" w:hAnsi="Times New Roman" w:cs="Times New Roman"/>
        </w:rPr>
        <w:t>1.5</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评价范围和保护目标</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_Toc209125195 \h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fldChar w:fldCharType="end"/>
      </w:r>
    </w:p>
    <w:p w14:paraId="0030D22F">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"_Toc209125196" </w:instrText>
      </w:r>
      <w:r>
        <w:fldChar w:fldCharType="separate"/>
      </w:r>
      <w:r>
        <w:rPr>
          <w:rStyle w:val="53"/>
          <w:rFonts w:ascii="Times New Roman" w:hAnsi="Times New Roman" w:cs="Times New Roman"/>
        </w:rPr>
        <w:t>1.5.1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评价范围</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_Toc209125196 \h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r>
        <w:rPr>
          <w:rFonts w:ascii="Times New Roman" w:hAnsi="Times New Roman" w:cs="Times New Roman"/>
        </w:rPr>
        <w:fldChar w:fldCharType="end"/>
      </w:r>
    </w:p>
    <w:p w14:paraId="6BFBFA16">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"_Toc209125197" </w:instrText>
      </w:r>
      <w:r>
        <w:fldChar w:fldCharType="separate"/>
      </w:r>
      <w:r>
        <w:rPr>
          <w:rStyle w:val="53"/>
          <w:rFonts w:ascii="Times New Roman" w:hAnsi="Times New Roman" w:cs="Times New Roman"/>
        </w:rPr>
        <w:t>1.5.2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环境保护目标</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_Toc209125197 \h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r>
        <w:rPr>
          <w:rFonts w:ascii="Times New Roman" w:hAnsi="Times New Roman" w:cs="Times New Roman"/>
        </w:rPr>
        <w:fldChar w:fldCharType="end"/>
      </w:r>
    </w:p>
    <w:p w14:paraId="3CB613DB">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"_Toc209125198" </w:instrText>
      </w:r>
      <w:r>
        <w:fldChar w:fldCharType="separate"/>
      </w:r>
      <w:r>
        <w:rPr>
          <w:rStyle w:val="53"/>
          <w:rFonts w:ascii="Times New Roman" w:hAnsi="Times New Roman" w:cs="Times New Roman"/>
        </w:rPr>
        <w:t>1.6</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安全责任划分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_Toc209125198 \h </w:instrText>
      </w:r>
      <w:r>
        <w:rPr>
          <w:rFonts w:ascii="Times New Roman" w:hAnsi="Times New Roman" w:cs="Times New Roman"/>
        </w:rPr>
        <w:fldChar w:fldCharType="separate"/>
      </w:r>
      <w:r>
        <w:rPr>
          <w:rFonts w:ascii="Times New Roman" w:hAnsi="Times New Roman" w:cs="Times New Roman"/>
        </w:rPr>
        <w:t>29</w:t>
      </w:r>
      <w:r>
        <w:rPr>
          <w:rFonts w:ascii="Times New Roman" w:hAnsi="Times New Roman" w:cs="Times New Roman"/>
        </w:rPr>
        <w:fldChar w:fldCharType="end"/>
      </w:r>
      <w:r>
        <w:rPr>
          <w:rFonts w:ascii="Times New Roman" w:hAnsi="Times New Roman" w:cs="Times New Roman"/>
        </w:rPr>
        <w:fldChar w:fldCharType="end"/>
      </w:r>
    </w:p>
    <w:p w14:paraId="30249625">
      <w:pPr>
        <w:pStyle w:val="30"/>
        <w:rPr>
          <w:rFonts w:eastAsiaTheme="minorEastAsia"/>
          <w:kern w:val="2"/>
          <w:sz w:val="22"/>
          <w14:ligatures w14:val="standardContextual"/>
        </w:rPr>
      </w:pPr>
      <w:r>
        <w:fldChar w:fldCharType="begin"/>
      </w:r>
      <w:r>
        <w:instrText xml:space="preserve"> HYPERLINK \l "_Toc209125199" </w:instrText>
      </w:r>
      <w:r>
        <w:fldChar w:fldCharType="separate"/>
      </w:r>
      <w:r>
        <w:rPr>
          <w:rStyle w:val="53"/>
        </w:rPr>
        <w:t>2</w:t>
      </w:r>
      <w:r>
        <w:rPr>
          <w:rFonts w:eastAsiaTheme="minorEastAsia"/>
          <w:kern w:val="2"/>
          <w:sz w:val="22"/>
          <w14:ligatures w14:val="standardContextual"/>
        </w:rPr>
        <w:tab/>
      </w:r>
      <w:r>
        <w:rPr>
          <w:rStyle w:val="53"/>
        </w:rPr>
        <w:t>自然环境与社会环境状况</w:t>
      </w:r>
      <w:r>
        <w:tab/>
      </w:r>
      <w:r>
        <w:fldChar w:fldCharType="begin"/>
      </w:r>
      <w:r>
        <w:instrText xml:space="preserve"> PAGEREF _Toc209125199 \h </w:instrText>
      </w:r>
      <w:r>
        <w:fldChar w:fldCharType="separate"/>
      </w:r>
      <w:r>
        <w:t>31</w:t>
      </w:r>
      <w:r>
        <w:fldChar w:fldCharType="end"/>
      </w:r>
      <w:r>
        <w:fldChar w:fldCharType="end"/>
      </w:r>
    </w:p>
    <w:p w14:paraId="06A0DE44">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"_Toc209125200" </w:instrText>
      </w:r>
      <w:r>
        <w:fldChar w:fldCharType="separate"/>
      </w:r>
      <w:r>
        <w:rPr>
          <w:rStyle w:val="53"/>
          <w:rFonts w:ascii="Times New Roman" w:hAnsi="Times New Roman" w:cs="Times New Roman"/>
        </w:rPr>
        <w:t>2.1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地理位置</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_Toc209125200 \h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r>
        <w:rPr>
          <w:rFonts w:ascii="Times New Roman" w:hAnsi="Times New Roman" w:cs="Times New Roman"/>
        </w:rPr>
        <w:fldChar w:fldCharType="end"/>
      </w:r>
    </w:p>
    <w:p w14:paraId="647B7B7E">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"_Toc209125201" </w:instrText>
      </w:r>
      <w:r>
        <w:fldChar w:fldCharType="separate"/>
      </w:r>
      <w:r>
        <w:rPr>
          <w:rStyle w:val="53"/>
          <w:rFonts w:ascii="Times New Roman" w:hAnsi="Times New Roman" w:cs="Times New Roman"/>
        </w:rPr>
        <w:t>2.2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自然环境状况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_Toc209125201 \h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r>
        <w:rPr>
          <w:rFonts w:ascii="Times New Roman" w:hAnsi="Times New Roman" w:cs="Times New Roman"/>
        </w:rPr>
        <w:fldChar w:fldCharType="end"/>
      </w:r>
    </w:p>
    <w:p w14:paraId="703D71BA">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"_Toc209125202" </w:instrText>
      </w:r>
      <w:r>
        <w:fldChar w:fldCharType="separate"/>
      </w:r>
      <w:r>
        <w:rPr>
          <w:rStyle w:val="53"/>
          <w:rFonts w:ascii="Times New Roman" w:hAnsi="Times New Roman" w:cs="Times New Roman"/>
        </w:rPr>
        <w:t>2.2.1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地形地貌</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_Toc209125202 \h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r>
        <w:rPr>
          <w:rFonts w:ascii="Times New Roman" w:hAnsi="Times New Roman" w:cs="Times New Roman"/>
        </w:rPr>
        <w:fldChar w:fldCharType="end"/>
      </w:r>
    </w:p>
    <w:p w14:paraId="0040EE6D">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"_Toc209125203" </w:instrText>
      </w:r>
      <w:r>
        <w:fldChar w:fldCharType="separate"/>
      </w:r>
      <w:r>
        <w:rPr>
          <w:rStyle w:val="53"/>
          <w:rFonts w:ascii="Times New Roman" w:hAnsi="Times New Roman" w:cs="Times New Roman"/>
        </w:rPr>
        <w:t>2.2.2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气候气象</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_Toc209125203 \h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r>
        <w:rPr>
          <w:rFonts w:ascii="Times New Roman" w:hAnsi="Times New Roman" w:cs="Times New Roman"/>
        </w:rPr>
        <w:fldChar w:fldCharType="end"/>
      </w:r>
    </w:p>
    <w:p w14:paraId="560776D5">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"_Toc209125204" </w:instrText>
      </w:r>
      <w:r>
        <w:fldChar w:fldCharType="separate"/>
      </w:r>
      <w:r>
        <w:rPr>
          <w:rStyle w:val="53"/>
          <w:rFonts w:ascii="Times New Roman" w:hAnsi="Times New Roman" w:cs="Times New Roman"/>
        </w:rPr>
        <w:t>2.2.3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水文地质</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_Toc209125204 \h </w:instrText>
      </w:r>
      <w:r>
        <w:rPr>
          <w:rFonts w:ascii="Times New Roman" w:hAnsi="Times New Roman" w:cs="Times New Roman"/>
        </w:rPr>
        <w:fldChar w:fldCharType="separate"/>
      </w:r>
      <w:r>
        <w:rPr>
          <w:rFonts w:ascii="Times New Roman" w:hAnsi="Times New Roman" w:cs="Times New Roman"/>
        </w:rPr>
        <w:t>32</w:t>
      </w:r>
      <w:r>
        <w:rPr>
          <w:rFonts w:ascii="Times New Roman" w:hAnsi="Times New Roman" w:cs="Times New Roman"/>
        </w:rPr>
        <w:fldChar w:fldCharType="end"/>
      </w:r>
      <w:r>
        <w:rPr>
          <w:rFonts w:ascii="Times New Roman" w:hAnsi="Times New Roman" w:cs="Times New Roman"/>
        </w:rPr>
        <w:fldChar w:fldCharType="end"/>
      </w:r>
    </w:p>
    <w:p w14:paraId="77669BCC">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"_Toc209125205" </w:instrText>
      </w:r>
      <w:r>
        <w:fldChar w:fldCharType="separate"/>
      </w:r>
      <w:r>
        <w:rPr>
          <w:rStyle w:val="53"/>
          <w:rFonts w:ascii="Times New Roman" w:hAnsi="Times New Roman" w:cs="Times New Roman"/>
        </w:rPr>
        <w:t>2.2.4</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土壤</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_Toc209125205 \h </w:instrText>
      </w:r>
      <w:r>
        <w:rPr>
          <w:rFonts w:ascii="Times New Roman" w:hAnsi="Times New Roman" w:cs="Times New Roman"/>
        </w:rPr>
        <w:fldChar w:fldCharType="separate"/>
      </w:r>
      <w:r>
        <w:rPr>
          <w:rFonts w:ascii="Times New Roman" w:hAnsi="Times New Roman" w:cs="Times New Roman"/>
        </w:rPr>
        <w:t>33</w:t>
      </w:r>
      <w:r>
        <w:rPr>
          <w:rFonts w:ascii="Times New Roman" w:hAnsi="Times New Roman" w:cs="Times New Roman"/>
        </w:rPr>
        <w:fldChar w:fldCharType="end"/>
      </w:r>
      <w:r>
        <w:rPr>
          <w:rFonts w:ascii="Times New Roman" w:hAnsi="Times New Roman" w:cs="Times New Roman"/>
        </w:rPr>
        <w:fldChar w:fldCharType="end"/>
      </w:r>
    </w:p>
    <w:p w14:paraId="3673E835">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"_Toc209125206" </w:instrText>
      </w:r>
      <w:r>
        <w:fldChar w:fldCharType="separate"/>
      </w:r>
      <w:r>
        <w:rPr>
          <w:rStyle w:val="53"/>
          <w:rFonts w:ascii="Times New Roman" w:hAnsi="Times New Roman" w:cs="Times New Roman"/>
        </w:rPr>
        <w:t>2.2.5</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生态环境</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_Toc209125206 \h </w:instrText>
      </w:r>
      <w:r>
        <w:rPr>
          <w:rFonts w:ascii="Times New Roman" w:hAnsi="Times New Roman" w:cs="Times New Roman"/>
        </w:rPr>
        <w:fldChar w:fldCharType="separate"/>
      </w:r>
      <w:r>
        <w:rPr>
          <w:rFonts w:ascii="Times New Roman" w:hAnsi="Times New Roman" w:cs="Times New Roman"/>
        </w:rPr>
        <w:t>33</w:t>
      </w:r>
      <w:r>
        <w:rPr>
          <w:rFonts w:ascii="Times New Roman" w:hAnsi="Times New Roman" w:cs="Times New Roman"/>
        </w:rPr>
        <w:fldChar w:fldCharType="end"/>
      </w:r>
      <w:r>
        <w:rPr>
          <w:rFonts w:ascii="Times New Roman" w:hAnsi="Times New Roman" w:cs="Times New Roman"/>
        </w:rPr>
        <w:fldChar w:fldCharType="end"/>
      </w:r>
    </w:p>
    <w:p w14:paraId="179FFFEA">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"_Toc209125207" </w:instrText>
      </w:r>
      <w:r>
        <w:fldChar w:fldCharType="separate"/>
      </w:r>
      <w:r>
        <w:rPr>
          <w:rStyle w:val="53"/>
          <w:rFonts w:ascii="Times New Roman" w:hAnsi="Times New Roman" w:cs="Times New Roman"/>
        </w:rPr>
        <w:t>2.2.6</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矿产资源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_Toc209125207 \h </w:instrText>
      </w:r>
      <w:r>
        <w:rPr>
          <w:rFonts w:ascii="Times New Roman" w:hAnsi="Times New Roman" w:cs="Times New Roman"/>
        </w:rPr>
        <w:fldChar w:fldCharType="separate"/>
      </w:r>
      <w:r>
        <w:rPr>
          <w:rFonts w:ascii="Times New Roman" w:hAnsi="Times New Roman" w:cs="Times New Roman"/>
        </w:rPr>
        <w:t>33</w:t>
      </w:r>
      <w:r>
        <w:rPr>
          <w:rFonts w:ascii="Times New Roman" w:hAnsi="Times New Roman" w:cs="Times New Roman"/>
        </w:rPr>
        <w:fldChar w:fldCharType="end"/>
      </w:r>
      <w:r>
        <w:rPr>
          <w:rFonts w:ascii="Times New Roman" w:hAnsi="Times New Roman" w:cs="Times New Roman"/>
        </w:rPr>
        <w:fldChar w:fldCharType="end"/>
      </w:r>
    </w:p>
    <w:p w14:paraId="7029727F">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"_Toc209125208" </w:instrText>
      </w:r>
      <w:r>
        <w:fldChar w:fldCharType="separate"/>
      </w:r>
      <w:r>
        <w:rPr>
          <w:rStyle w:val="53"/>
          <w:rFonts w:ascii="Times New Roman" w:hAnsi="Times New Roman" w:cs="Times New Roman"/>
        </w:rPr>
        <w:t>2.3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社会环境概况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_Toc209125208 \h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14:paraId="011A5EB6">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"_Toc209125209" </w:instrText>
      </w:r>
      <w:r>
        <w:fldChar w:fldCharType="separate"/>
      </w:r>
      <w:r>
        <w:rPr>
          <w:rStyle w:val="53"/>
          <w:rFonts w:ascii="Times New Roman" w:hAnsi="Times New Roman" w:cs="Times New Roman"/>
        </w:rPr>
        <w:t>2.3.1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社会经济状况</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_Toc209125209 \h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14:paraId="6BB0273C">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"_Toc209125210" </w:instrText>
      </w:r>
      <w:r>
        <w:fldChar w:fldCharType="separate"/>
      </w:r>
      <w:r>
        <w:rPr>
          <w:rStyle w:val="53"/>
          <w:rFonts w:ascii="Times New Roman" w:hAnsi="Times New Roman" w:cs="Times New Roman"/>
        </w:rPr>
        <w:t>2.3.2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人口</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_Toc209125210 \h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14:paraId="5FDE0EB3">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"_Toc209125211" </w:instrText>
      </w:r>
      <w:r>
        <w:fldChar w:fldCharType="separate"/>
      </w:r>
      <w:r>
        <w:rPr>
          <w:rStyle w:val="53"/>
          <w:rFonts w:ascii="Times New Roman" w:hAnsi="Times New Roman" w:cs="Times New Roman"/>
        </w:rPr>
        <w:t>2.3.3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教育</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_Toc209125211 \h </w:instrText>
      </w:r>
      <w:r>
        <w:rPr>
          <w:rFonts w:ascii="Times New Roman" w:hAnsi="Times New Roman" w:cs="Times New Roman"/>
        </w:rPr>
        <w:fldChar w:fldCharType="separate"/>
      </w:r>
      <w:r>
        <w:rPr>
          <w:rFonts w:ascii="Times New Roman" w:hAnsi="Times New Roman" w:cs="Times New Roman"/>
        </w:rPr>
        <w:t>34</w:t>
      </w:r>
      <w:r>
        <w:rPr>
          <w:rFonts w:ascii="Times New Roman" w:hAnsi="Times New Roman" w:cs="Times New Roman"/>
        </w:rPr>
        <w:fldChar w:fldCharType="end"/>
      </w:r>
      <w:r>
        <w:rPr>
          <w:rFonts w:ascii="Times New Roman" w:hAnsi="Times New Roman" w:cs="Times New Roman"/>
        </w:rPr>
        <w:fldChar w:fldCharType="end"/>
      </w:r>
    </w:p>
    <w:p w14:paraId="64E6CF9A">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"_Toc209125212" </w:instrText>
      </w:r>
      <w:r>
        <w:fldChar w:fldCharType="separate"/>
      </w:r>
      <w:r>
        <w:rPr>
          <w:rStyle w:val="53"/>
          <w:rFonts w:ascii="Times New Roman" w:hAnsi="Times New Roman" w:cs="Times New Roman"/>
        </w:rPr>
        <w:t>2.3.4</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医疗</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_Toc209125212 \h </w:instrText>
      </w:r>
      <w:r>
        <w:rPr>
          <w:rFonts w:ascii="Times New Roman" w:hAnsi="Times New Roman" w:cs="Times New Roman"/>
        </w:rPr>
        <w:fldChar w:fldCharType="separate"/>
      </w:r>
      <w:r>
        <w:rPr>
          <w:rFonts w:ascii="Times New Roman" w:hAnsi="Times New Roman" w:cs="Times New Roman"/>
        </w:rPr>
        <w:t>35</w:t>
      </w:r>
      <w:r>
        <w:rPr>
          <w:rFonts w:ascii="Times New Roman" w:hAnsi="Times New Roman" w:cs="Times New Roman"/>
        </w:rPr>
        <w:fldChar w:fldCharType="end"/>
      </w:r>
      <w:r>
        <w:rPr>
          <w:rFonts w:ascii="Times New Roman" w:hAnsi="Times New Roman" w:cs="Times New Roman"/>
        </w:rPr>
        <w:fldChar w:fldCharType="end"/>
      </w:r>
    </w:p>
    <w:p w14:paraId="05B73A57">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"_Toc209125213" </w:instrText>
      </w:r>
      <w:r>
        <w:fldChar w:fldCharType="separate"/>
      </w:r>
      <w:r>
        <w:rPr>
          <w:rStyle w:val="53"/>
          <w:rFonts w:ascii="Times New Roman" w:hAnsi="Times New Roman" w:cs="Times New Roman"/>
        </w:rPr>
        <w:t>2.4</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环境质量和辐射现状</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_Toc209125213 \h </w:instrText>
      </w:r>
      <w:r>
        <w:rPr>
          <w:rFonts w:ascii="Times New Roman" w:hAnsi="Times New Roman" w:cs="Times New Roman"/>
        </w:rPr>
        <w:fldChar w:fldCharType="separate"/>
      </w:r>
      <w:r>
        <w:rPr>
          <w:rFonts w:ascii="Times New Roman" w:hAnsi="Times New Roman" w:cs="Times New Roman"/>
        </w:rPr>
        <w:t>35</w:t>
      </w:r>
      <w:r>
        <w:rPr>
          <w:rFonts w:ascii="Times New Roman" w:hAnsi="Times New Roman" w:cs="Times New Roman"/>
        </w:rPr>
        <w:fldChar w:fldCharType="end"/>
      </w:r>
      <w:r>
        <w:rPr>
          <w:rFonts w:ascii="Times New Roman" w:hAnsi="Times New Roman" w:cs="Times New Roman"/>
        </w:rPr>
        <w:fldChar w:fldCharType="end"/>
      </w:r>
    </w:p>
    <w:p w14:paraId="6145C497">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"_Toc209125214" </w:instrText>
      </w:r>
      <w:r>
        <w:fldChar w:fldCharType="separate"/>
      </w:r>
      <w:r>
        <w:rPr>
          <w:rStyle w:val="53"/>
          <w:rFonts w:ascii="Times New Roman" w:hAnsi="Times New Roman" w:cs="Times New Roman"/>
        </w:rPr>
        <w:t>2.4.1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辐射环境质量现状监测与评价</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_Toc209125214 \h </w:instrText>
      </w:r>
      <w:r>
        <w:rPr>
          <w:rFonts w:ascii="Times New Roman" w:hAnsi="Times New Roman" w:cs="Times New Roman"/>
        </w:rPr>
        <w:fldChar w:fldCharType="separate"/>
      </w:r>
      <w:r>
        <w:rPr>
          <w:rFonts w:ascii="Times New Roman" w:hAnsi="Times New Roman" w:cs="Times New Roman"/>
        </w:rPr>
        <w:t>35</w:t>
      </w:r>
      <w:r>
        <w:rPr>
          <w:rFonts w:ascii="Times New Roman" w:hAnsi="Times New Roman" w:cs="Times New Roman"/>
        </w:rPr>
        <w:fldChar w:fldCharType="end"/>
      </w:r>
      <w:r>
        <w:rPr>
          <w:rFonts w:ascii="Times New Roman" w:hAnsi="Times New Roman" w:cs="Times New Roman"/>
        </w:rPr>
        <w:fldChar w:fldCharType="end"/>
      </w:r>
    </w:p>
    <w:p w14:paraId="4C93BC68">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"_Toc209125215" </w:instrText>
      </w:r>
      <w:r>
        <w:fldChar w:fldCharType="separate"/>
      </w:r>
      <w:r>
        <w:rPr>
          <w:rStyle w:val="53"/>
          <w:rFonts w:ascii="Times New Roman" w:hAnsi="Times New Roman" w:cs="Times New Roman"/>
        </w:rPr>
        <w:t>2.4.2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场址适宜性评价</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_Toc209125215 \h </w:instrText>
      </w:r>
      <w:r>
        <w:rPr>
          <w:rFonts w:ascii="Times New Roman" w:hAnsi="Times New Roman" w:cs="Times New Roman"/>
        </w:rPr>
        <w:fldChar w:fldCharType="separate"/>
      </w:r>
      <w:r>
        <w:rPr>
          <w:rFonts w:ascii="Times New Roman" w:hAnsi="Times New Roman" w:cs="Times New Roman"/>
        </w:rPr>
        <w:t>42</w:t>
      </w:r>
      <w:r>
        <w:rPr>
          <w:rFonts w:ascii="Times New Roman" w:hAnsi="Times New Roman" w:cs="Times New Roman"/>
        </w:rPr>
        <w:fldChar w:fldCharType="end"/>
      </w:r>
      <w:r>
        <w:rPr>
          <w:rFonts w:ascii="Times New Roman" w:hAnsi="Times New Roman" w:cs="Times New Roman"/>
        </w:rPr>
        <w:fldChar w:fldCharType="end"/>
      </w:r>
    </w:p>
    <w:p w14:paraId="5AAFBCAB">
      <w:pPr>
        <w:pStyle w:val="30"/>
        <w:rPr>
          <w:rFonts w:eastAsiaTheme="minorEastAsia"/>
          <w:kern w:val="2"/>
          <w:sz w:val="22"/>
          <w14:ligatures w14:val="standardContextual"/>
        </w:rPr>
      </w:pPr>
      <w:r>
        <w:fldChar w:fldCharType="begin"/>
      </w:r>
      <w:r>
        <w:instrText xml:space="preserve"> HYPERLINK \l "_Toc209125216" </w:instrText>
      </w:r>
      <w:r>
        <w:fldChar w:fldCharType="separate"/>
      </w:r>
      <w:r>
        <w:rPr>
          <w:rStyle w:val="53"/>
        </w:rPr>
        <w:t>3</w:t>
      </w:r>
      <w:r>
        <w:rPr>
          <w:rFonts w:eastAsiaTheme="minorEastAsia"/>
          <w:kern w:val="2"/>
          <w:sz w:val="22"/>
          <w14:ligatures w14:val="standardContextual"/>
        </w:rPr>
        <w:tab/>
      </w:r>
      <w:r>
        <w:rPr>
          <w:rStyle w:val="53"/>
        </w:rPr>
        <w:t>建设项目环境影响预测及拟采取的主要措施和效果</w:t>
      </w:r>
      <w:r>
        <w:tab/>
      </w:r>
      <w:r>
        <w:fldChar w:fldCharType="begin"/>
      </w:r>
      <w:r>
        <w:instrText xml:space="preserve"> PAGEREF _Toc209125216 \h </w:instrText>
      </w:r>
      <w:r>
        <w:fldChar w:fldCharType="separate"/>
      </w:r>
      <w:r>
        <w:t>43</w:t>
      </w:r>
      <w:r>
        <w:fldChar w:fldCharType="end"/>
      </w:r>
      <w:r>
        <w:fldChar w:fldCharType="end"/>
      </w:r>
    </w:p>
    <w:p w14:paraId="22E5D2A0">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"_Toc209125217" </w:instrText>
      </w:r>
      <w:r>
        <w:fldChar w:fldCharType="separate"/>
      </w:r>
      <w:r>
        <w:rPr>
          <w:rStyle w:val="53"/>
          <w:rFonts w:ascii="Times New Roman" w:hAnsi="Times New Roman" w:cs="Times New Roman"/>
        </w:rPr>
        <w:t>3.1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项目规模与基本参数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_Toc209125217 \h </w:instrText>
      </w:r>
      <w:r>
        <w:rPr>
          <w:rFonts w:ascii="Times New Roman" w:hAnsi="Times New Roman" w:cs="Times New Roman"/>
        </w:rPr>
        <w:fldChar w:fldCharType="separate"/>
      </w:r>
      <w:r>
        <w:rPr>
          <w:rFonts w:ascii="Times New Roman" w:hAnsi="Times New Roman" w:cs="Times New Roman"/>
        </w:rPr>
        <w:t>43</w:t>
      </w:r>
      <w:r>
        <w:rPr>
          <w:rFonts w:ascii="Times New Roman" w:hAnsi="Times New Roman" w:cs="Times New Roman"/>
        </w:rPr>
        <w:fldChar w:fldCharType="end"/>
      </w:r>
      <w:r>
        <w:rPr>
          <w:rFonts w:ascii="Times New Roman" w:hAnsi="Times New Roman" w:cs="Times New Roman"/>
        </w:rPr>
        <w:fldChar w:fldCharType="end"/>
      </w:r>
    </w:p>
    <w:p w14:paraId="65CE0A2E">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"_Toc209125218" </w:instrText>
      </w:r>
      <w:r>
        <w:fldChar w:fldCharType="separate"/>
      </w:r>
      <w:r>
        <w:rPr>
          <w:rStyle w:val="53"/>
          <w:rFonts w:ascii="Times New Roman" w:hAnsi="Times New Roman" w:cs="Times New Roman"/>
        </w:rPr>
        <w:t>3.1.1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项目规模</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_Toc209125218 \h </w:instrText>
      </w:r>
      <w:r>
        <w:rPr>
          <w:rFonts w:ascii="Times New Roman" w:hAnsi="Times New Roman" w:cs="Times New Roman"/>
        </w:rPr>
        <w:fldChar w:fldCharType="separate"/>
      </w:r>
      <w:r>
        <w:rPr>
          <w:rFonts w:ascii="Times New Roman" w:hAnsi="Times New Roman" w:cs="Times New Roman"/>
        </w:rPr>
        <w:t>43</w:t>
      </w:r>
      <w:r>
        <w:rPr>
          <w:rFonts w:ascii="Times New Roman" w:hAnsi="Times New Roman" w:cs="Times New Roman"/>
        </w:rPr>
        <w:fldChar w:fldCharType="end"/>
      </w:r>
      <w:r>
        <w:rPr>
          <w:rFonts w:ascii="Times New Roman" w:hAnsi="Times New Roman" w:cs="Times New Roman"/>
        </w:rPr>
        <w:fldChar w:fldCharType="end"/>
      </w:r>
    </w:p>
    <w:p w14:paraId="2C69808C">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"_Toc209125219" </w:instrText>
      </w:r>
      <w:r>
        <w:fldChar w:fldCharType="separate"/>
      </w:r>
      <w:r>
        <w:rPr>
          <w:rStyle w:val="53"/>
          <w:rFonts w:ascii="Times New Roman" w:hAnsi="Times New Roman" w:cs="Times New Roman"/>
        </w:rPr>
        <w:t>3.1.2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基本参数</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_Toc209125219 \h </w:instrText>
      </w:r>
      <w:r>
        <w:rPr>
          <w:rFonts w:ascii="Times New Roman" w:hAnsi="Times New Roman" w:cs="Times New Roman"/>
        </w:rPr>
        <w:fldChar w:fldCharType="separate"/>
      </w:r>
      <w:r>
        <w:rPr>
          <w:rFonts w:ascii="Times New Roman" w:hAnsi="Times New Roman" w:cs="Times New Roman"/>
        </w:rPr>
        <w:t>49</w:t>
      </w:r>
      <w:r>
        <w:rPr>
          <w:rFonts w:ascii="Times New Roman" w:hAnsi="Times New Roman" w:cs="Times New Roman"/>
        </w:rPr>
        <w:fldChar w:fldCharType="end"/>
      </w:r>
      <w:r>
        <w:rPr>
          <w:rFonts w:ascii="Times New Roman" w:hAnsi="Times New Roman" w:cs="Times New Roman"/>
        </w:rPr>
        <w:fldChar w:fldCharType="end"/>
      </w:r>
    </w:p>
    <w:p w14:paraId="66753BAC">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"_Toc209125220" </w:instrText>
      </w:r>
      <w:r>
        <w:fldChar w:fldCharType="separate"/>
      </w:r>
      <w:r>
        <w:rPr>
          <w:rStyle w:val="53"/>
          <w:rFonts w:ascii="Times New Roman" w:hAnsi="Times New Roman" w:cs="Times New Roman"/>
        </w:rPr>
        <w:t>3.2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工艺设备</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_Toc209125220 \h </w:instrText>
      </w:r>
      <w:r>
        <w:rPr>
          <w:rFonts w:ascii="Times New Roman" w:hAnsi="Times New Roman" w:cs="Times New Roman"/>
        </w:rPr>
        <w:fldChar w:fldCharType="separate"/>
      </w:r>
      <w:r>
        <w:rPr>
          <w:rFonts w:ascii="Times New Roman" w:hAnsi="Times New Roman" w:cs="Times New Roman"/>
        </w:rPr>
        <w:t>49</w:t>
      </w:r>
      <w:r>
        <w:rPr>
          <w:rFonts w:ascii="Times New Roman" w:hAnsi="Times New Roman" w:cs="Times New Roman"/>
        </w:rPr>
        <w:fldChar w:fldCharType="end"/>
      </w:r>
      <w:r>
        <w:rPr>
          <w:rFonts w:ascii="Times New Roman" w:hAnsi="Times New Roman" w:cs="Times New Roman"/>
        </w:rPr>
        <w:fldChar w:fldCharType="end"/>
      </w:r>
    </w:p>
    <w:p w14:paraId="3A7F13E5">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"_Toc209125221" </w:instrText>
      </w:r>
      <w:r>
        <w:fldChar w:fldCharType="separate"/>
      </w:r>
      <w:r>
        <w:rPr>
          <w:rStyle w:val="53"/>
          <w:rFonts w:ascii="Times New Roman" w:hAnsi="Times New Roman" w:cs="Times New Roman"/>
        </w:rPr>
        <w:t>3.2.1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质子治疗系统</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_Toc209125221 \h </w:instrText>
      </w:r>
      <w:r>
        <w:rPr>
          <w:rFonts w:ascii="Times New Roman" w:hAnsi="Times New Roman" w:cs="Times New Roman"/>
        </w:rPr>
        <w:fldChar w:fldCharType="separate"/>
      </w:r>
      <w:r>
        <w:rPr>
          <w:rFonts w:ascii="Times New Roman" w:hAnsi="Times New Roman" w:cs="Times New Roman"/>
        </w:rPr>
        <w:t>49</w:t>
      </w:r>
      <w:r>
        <w:rPr>
          <w:rFonts w:ascii="Times New Roman" w:hAnsi="Times New Roman" w:cs="Times New Roman"/>
        </w:rPr>
        <w:fldChar w:fldCharType="end"/>
      </w:r>
      <w:r>
        <w:rPr>
          <w:rFonts w:ascii="Times New Roman" w:hAnsi="Times New Roman" w:cs="Times New Roman"/>
        </w:rPr>
        <w:fldChar w:fldCharType="end"/>
      </w:r>
    </w:p>
    <w:p w14:paraId="382B0CF0">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"_Toc209125222" </w:instrText>
      </w:r>
      <w:r>
        <w:fldChar w:fldCharType="separate"/>
      </w:r>
      <w:r>
        <w:rPr>
          <w:rStyle w:val="53"/>
          <w:rFonts w:ascii="Times New Roman" w:hAnsi="Times New Roman" w:cs="Times New Roman"/>
        </w:rPr>
        <w:t>3.2.2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CT机</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_Toc209125222 \h </w:instrText>
      </w:r>
      <w:r>
        <w:rPr>
          <w:rFonts w:ascii="Times New Roman" w:hAnsi="Times New Roman" w:cs="Times New Roman"/>
        </w:rPr>
        <w:fldChar w:fldCharType="separate"/>
      </w:r>
      <w:r>
        <w:rPr>
          <w:rFonts w:ascii="Times New Roman" w:hAnsi="Times New Roman" w:cs="Times New Roman"/>
        </w:rPr>
        <w:t>61</w:t>
      </w:r>
      <w:r>
        <w:rPr>
          <w:rFonts w:ascii="Times New Roman" w:hAnsi="Times New Roman" w:cs="Times New Roman"/>
        </w:rPr>
        <w:fldChar w:fldCharType="end"/>
      </w:r>
      <w:r>
        <w:rPr>
          <w:rFonts w:ascii="Times New Roman" w:hAnsi="Times New Roman" w:cs="Times New Roman"/>
        </w:rPr>
        <w:fldChar w:fldCharType="end"/>
      </w:r>
    </w:p>
    <w:p w14:paraId="669C175F">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"_Toc209125223" </w:instrText>
      </w:r>
      <w:r>
        <w:fldChar w:fldCharType="separate"/>
      </w:r>
      <w:r>
        <w:rPr>
          <w:rStyle w:val="53"/>
          <w:rFonts w:ascii="Times New Roman" w:hAnsi="Times New Roman" w:cs="Times New Roman"/>
        </w:rPr>
        <w:t>3.3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辐射源项分析</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_Toc209125223 \h </w:instrText>
      </w:r>
      <w:r>
        <w:rPr>
          <w:rFonts w:ascii="Times New Roman" w:hAnsi="Times New Roman" w:cs="Times New Roman"/>
        </w:rPr>
        <w:fldChar w:fldCharType="separate"/>
      </w:r>
      <w:r>
        <w:rPr>
          <w:rFonts w:ascii="Times New Roman" w:hAnsi="Times New Roman" w:cs="Times New Roman"/>
        </w:rPr>
        <w:t>62</w:t>
      </w:r>
      <w:r>
        <w:rPr>
          <w:rFonts w:ascii="Times New Roman" w:hAnsi="Times New Roman" w:cs="Times New Roman"/>
        </w:rPr>
        <w:fldChar w:fldCharType="end"/>
      </w:r>
      <w:r>
        <w:rPr>
          <w:rFonts w:ascii="Times New Roman" w:hAnsi="Times New Roman" w:cs="Times New Roman"/>
        </w:rPr>
        <w:fldChar w:fldCharType="end"/>
      </w:r>
    </w:p>
    <w:p w14:paraId="0D397C98">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"_Toc209125224" </w:instrText>
      </w:r>
      <w:r>
        <w:fldChar w:fldCharType="separate"/>
      </w:r>
      <w:r>
        <w:rPr>
          <w:rStyle w:val="53"/>
          <w:rFonts w:ascii="Times New Roman" w:hAnsi="Times New Roman" w:cs="Times New Roman"/>
        </w:rPr>
        <w:t>3.3.1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质子治疗系统</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_Toc209125224 \h </w:instrText>
      </w:r>
      <w:r>
        <w:rPr>
          <w:rFonts w:ascii="Times New Roman" w:hAnsi="Times New Roman" w:cs="Times New Roman"/>
        </w:rPr>
        <w:fldChar w:fldCharType="separate"/>
      </w:r>
      <w:r>
        <w:rPr>
          <w:rFonts w:ascii="Times New Roman" w:hAnsi="Times New Roman" w:cs="Times New Roman"/>
        </w:rPr>
        <w:t>62</w:t>
      </w:r>
      <w:r>
        <w:rPr>
          <w:rFonts w:ascii="Times New Roman" w:hAnsi="Times New Roman" w:cs="Times New Roman"/>
        </w:rPr>
        <w:fldChar w:fldCharType="end"/>
      </w:r>
      <w:r>
        <w:rPr>
          <w:rFonts w:ascii="Times New Roman" w:hAnsi="Times New Roman" w:cs="Times New Roman"/>
        </w:rPr>
        <w:fldChar w:fldCharType="end"/>
      </w:r>
    </w:p>
    <w:p w14:paraId="716D87F7">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"_Toc209125225" </w:instrText>
      </w:r>
      <w:r>
        <w:fldChar w:fldCharType="separate"/>
      </w:r>
      <w:r>
        <w:rPr>
          <w:rStyle w:val="53"/>
          <w:rFonts w:ascii="Times New Roman" w:hAnsi="Times New Roman" w:cs="Times New Roman"/>
        </w:rPr>
        <w:t>3.3.2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CT机</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_Toc209125225 \h </w:instrText>
      </w:r>
      <w:r>
        <w:rPr>
          <w:rFonts w:ascii="Times New Roman" w:hAnsi="Times New Roman" w:cs="Times New Roman"/>
        </w:rPr>
        <w:fldChar w:fldCharType="separate"/>
      </w:r>
      <w:r>
        <w:rPr>
          <w:rFonts w:ascii="Times New Roman" w:hAnsi="Times New Roman" w:cs="Times New Roman"/>
        </w:rPr>
        <w:t>62</w:t>
      </w:r>
      <w:r>
        <w:rPr>
          <w:rFonts w:ascii="Times New Roman" w:hAnsi="Times New Roman" w:cs="Times New Roman"/>
        </w:rPr>
        <w:fldChar w:fldCharType="end"/>
      </w:r>
      <w:r>
        <w:rPr>
          <w:rFonts w:ascii="Times New Roman" w:hAnsi="Times New Roman" w:cs="Times New Roman"/>
        </w:rPr>
        <w:fldChar w:fldCharType="end"/>
      </w:r>
    </w:p>
    <w:p w14:paraId="12060A24">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"_Toc209125226" </w:instrText>
      </w:r>
      <w:r>
        <w:fldChar w:fldCharType="separate"/>
      </w:r>
      <w:r>
        <w:rPr>
          <w:rStyle w:val="53"/>
          <w:rFonts w:ascii="Times New Roman" w:hAnsi="Times New Roman" w:cs="Times New Roman"/>
        </w:rPr>
        <w:t>3.4</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主要环境影响及其预测评价结果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_Toc209125226 \h </w:instrText>
      </w:r>
      <w:r>
        <w:rPr>
          <w:rFonts w:ascii="Times New Roman" w:hAnsi="Times New Roman" w:cs="Times New Roman"/>
        </w:rPr>
        <w:fldChar w:fldCharType="separate"/>
      </w:r>
      <w:r>
        <w:rPr>
          <w:rFonts w:ascii="Times New Roman" w:hAnsi="Times New Roman" w:cs="Times New Roman"/>
        </w:rPr>
        <w:t>63</w:t>
      </w:r>
      <w:r>
        <w:rPr>
          <w:rFonts w:ascii="Times New Roman" w:hAnsi="Times New Roman" w:cs="Times New Roman"/>
        </w:rPr>
        <w:fldChar w:fldCharType="end"/>
      </w:r>
      <w:r>
        <w:rPr>
          <w:rFonts w:ascii="Times New Roman" w:hAnsi="Times New Roman" w:cs="Times New Roman"/>
        </w:rPr>
        <w:fldChar w:fldCharType="end"/>
      </w:r>
    </w:p>
    <w:p w14:paraId="0CBFC0DA">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"_Toc209125227" </w:instrText>
      </w:r>
      <w:r>
        <w:fldChar w:fldCharType="separate"/>
      </w:r>
      <w:r>
        <w:rPr>
          <w:rStyle w:val="53"/>
          <w:rFonts w:ascii="Times New Roman" w:hAnsi="Times New Roman" w:cs="Times New Roman"/>
        </w:rPr>
        <w:t>3.5</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辐射防护与环境保护措施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_Toc209125227 \h </w:instrText>
      </w:r>
      <w:r>
        <w:rPr>
          <w:rFonts w:ascii="Times New Roman" w:hAnsi="Times New Roman" w:cs="Times New Roman"/>
        </w:rPr>
        <w:fldChar w:fldCharType="separate"/>
      </w:r>
      <w:r>
        <w:rPr>
          <w:rFonts w:ascii="Times New Roman" w:hAnsi="Times New Roman" w:cs="Times New Roman"/>
        </w:rPr>
        <w:t>63</w:t>
      </w:r>
      <w:r>
        <w:rPr>
          <w:rFonts w:ascii="Times New Roman" w:hAnsi="Times New Roman" w:cs="Times New Roman"/>
        </w:rPr>
        <w:fldChar w:fldCharType="end"/>
      </w:r>
      <w:r>
        <w:rPr>
          <w:rFonts w:ascii="Times New Roman" w:hAnsi="Times New Roman" w:cs="Times New Roman"/>
        </w:rPr>
        <w:fldChar w:fldCharType="end"/>
      </w:r>
    </w:p>
    <w:p w14:paraId="33562065">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"_Toc209125228" </w:instrText>
      </w:r>
      <w:r>
        <w:fldChar w:fldCharType="separate"/>
      </w:r>
      <w:r>
        <w:rPr>
          <w:rStyle w:val="53"/>
          <w:rFonts w:ascii="Times New Roman" w:hAnsi="Times New Roman" w:cs="Times New Roman"/>
        </w:rPr>
        <w:t>3.5.1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辐射工作场所分区</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_Toc209125228 \h </w:instrText>
      </w:r>
      <w:r>
        <w:rPr>
          <w:rFonts w:ascii="Times New Roman" w:hAnsi="Times New Roman" w:cs="Times New Roman"/>
        </w:rPr>
        <w:fldChar w:fldCharType="separate"/>
      </w:r>
      <w:r>
        <w:rPr>
          <w:rFonts w:ascii="Times New Roman" w:hAnsi="Times New Roman" w:cs="Times New Roman"/>
        </w:rPr>
        <w:t>63</w:t>
      </w:r>
      <w:r>
        <w:rPr>
          <w:rFonts w:ascii="Times New Roman" w:hAnsi="Times New Roman" w:cs="Times New Roman"/>
        </w:rPr>
        <w:fldChar w:fldCharType="end"/>
      </w:r>
      <w:r>
        <w:rPr>
          <w:rFonts w:ascii="Times New Roman" w:hAnsi="Times New Roman" w:cs="Times New Roman"/>
        </w:rPr>
        <w:fldChar w:fldCharType="end"/>
      </w:r>
    </w:p>
    <w:p w14:paraId="0A259B2F">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"_Toc209125229" </w:instrText>
      </w:r>
      <w:r>
        <w:fldChar w:fldCharType="separate"/>
      </w:r>
      <w:r>
        <w:rPr>
          <w:rStyle w:val="53"/>
          <w:rFonts w:ascii="Times New Roman" w:hAnsi="Times New Roman" w:cs="Times New Roman"/>
        </w:rPr>
        <w:t>3.5.2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辐射屏蔽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_Toc209125229 \h </w:instrText>
      </w:r>
      <w:r>
        <w:rPr>
          <w:rFonts w:ascii="Times New Roman" w:hAnsi="Times New Roman" w:cs="Times New Roman"/>
        </w:rPr>
        <w:fldChar w:fldCharType="separate"/>
      </w:r>
      <w:r>
        <w:rPr>
          <w:rFonts w:ascii="Times New Roman" w:hAnsi="Times New Roman" w:cs="Times New Roman"/>
        </w:rPr>
        <w:t>64</w:t>
      </w:r>
      <w:r>
        <w:rPr>
          <w:rFonts w:ascii="Times New Roman" w:hAnsi="Times New Roman" w:cs="Times New Roman"/>
        </w:rPr>
        <w:fldChar w:fldCharType="end"/>
      </w:r>
      <w:r>
        <w:rPr>
          <w:rFonts w:ascii="Times New Roman" w:hAnsi="Times New Roman" w:cs="Times New Roman"/>
        </w:rPr>
        <w:fldChar w:fldCharType="end"/>
      </w:r>
    </w:p>
    <w:p w14:paraId="5FBF2168">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"_Toc209125230" </w:instrText>
      </w:r>
      <w:r>
        <w:fldChar w:fldCharType="separate"/>
      </w:r>
      <w:r>
        <w:rPr>
          <w:rStyle w:val="53"/>
          <w:rFonts w:ascii="Times New Roman" w:hAnsi="Times New Roman" w:cs="Times New Roman"/>
        </w:rPr>
        <w:t>3.5.3</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辐射安全与防护措施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_Toc209125230 \h </w:instrText>
      </w:r>
      <w:r>
        <w:rPr>
          <w:rFonts w:ascii="Times New Roman" w:hAnsi="Times New Roman" w:cs="Times New Roman"/>
        </w:rPr>
        <w:fldChar w:fldCharType="separate"/>
      </w:r>
      <w:r>
        <w:rPr>
          <w:rFonts w:ascii="Times New Roman" w:hAnsi="Times New Roman" w:cs="Times New Roman"/>
        </w:rPr>
        <w:t>65</w:t>
      </w:r>
      <w:r>
        <w:rPr>
          <w:rFonts w:ascii="Times New Roman" w:hAnsi="Times New Roman" w:cs="Times New Roman"/>
        </w:rPr>
        <w:fldChar w:fldCharType="end"/>
      </w:r>
      <w:r>
        <w:rPr>
          <w:rFonts w:ascii="Times New Roman" w:hAnsi="Times New Roman" w:cs="Times New Roman"/>
        </w:rPr>
        <w:fldChar w:fldCharType="end"/>
      </w:r>
    </w:p>
    <w:p w14:paraId="427169A0">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"_Toc209125231" </w:instrText>
      </w:r>
      <w:r>
        <w:fldChar w:fldCharType="separate"/>
      </w:r>
      <w:r>
        <w:rPr>
          <w:rStyle w:val="53"/>
          <w:rFonts w:ascii="Times New Roman" w:hAnsi="Times New Roman" w:cs="Times New Roman"/>
        </w:rPr>
        <w:t>3.5.4</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放射性三废处理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_Toc209125231 \h </w:instrText>
      </w:r>
      <w:r>
        <w:rPr>
          <w:rFonts w:ascii="Times New Roman" w:hAnsi="Times New Roman" w:cs="Times New Roman"/>
        </w:rPr>
        <w:fldChar w:fldCharType="separate"/>
      </w:r>
      <w:r>
        <w:rPr>
          <w:rFonts w:ascii="Times New Roman" w:hAnsi="Times New Roman" w:cs="Times New Roman"/>
        </w:rPr>
        <w:t>68</w:t>
      </w:r>
      <w:r>
        <w:rPr>
          <w:rFonts w:ascii="Times New Roman" w:hAnsi="Times New Roman" w:cs="Times New Roman"/>
        </w:rPr>
        <w:fldChar w:fldCharType="end"/>
      </w:r>
      <w:r>
        <w:rPr>
          <w:rFonts w:ascii="Times New Roman" w:hAnsi="Times New Roman" w:cs="Times New Roman"/>
        </w:rPr>
        <w:fldChar w:fldCharType="end"/>
      </w:r>
    </w:p>
    <w:p w14:paraId="13EDE69C">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"_Toc209125232" </w:instrText>
      </w:r>
      <w:r>
        <w:fldChar w:fldCharType="separate"/>
      </w:r>
      <w:r>
        <w:rPr>
          <w:rStyle w:val="53"/>
          <w:rFonts w:ascii="Times New Roman" w:hAnsi="Times New Roman" w:cs="Times New Roman"/>
        </w:rPr>
        <w:t>3.6</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风险防范措施及应急预案</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_Toc209125232 \h </w:instrText>
      </w:r>
      <w:r>
        <w:rPr>
          <w:rFonts w:ascii="Times New Roman" w:hAnsi="Times New Roman" w:cs="Times New Roman"/>
        </w:rPr>
        <w:fldChar w:fldCharType="separate"/>
      </w:r>
      <w:r>
        <w:rPr>
          <w:rFonts w:ascii="Times New Roman" w:hAnsi="Times New Roman" w:cs="Times New Roman"/>
        </w:rPr>
        <w:t>71</w:t>
      </w:r>
      <w:r>
        <w:rPr>
          <w:rFonts w:ascii="Times New Roman" w:hAnsi="Times New Roman" w:cs="Times New Roman"/>
        </w:rPr>
        <w:fldChar w:fldCharType="end"/>
      </w:r>
      <w:r>
        <w:rPr>
          <w:rFonts w:ascii="Times New Roman" w:hAnsi="Times New Roman" w:cs="Times New Roman"/>
        </w:rPr>
        <w:fldChar w:fldCharType="end"/>
      </w:r>
    </w:p>
    <w:p w14:paraId="28B4AD17">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"_Toc209125233" </w:instrText>
      </w:r>
      <w:r>
        <w:fldChar w:fldCharType="separate"/>
      </w:r>
      <w:r>
        <w:rPr>
          <w:rStyle w:val="53"/>
          <w:rFonts w:ascii="Times New Roman" w:hAnsi="Times New Roman" w:cs="Times New Roman"/>
        </w:rPr>
        <w:t>3.7</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建设项目对环境影响的经济损益分析结果</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_Toc209125233 \h </w:instrText>
      </w:r>
      <w:r>
        <w:rPr>
          <w:rFonts w:ascii="Times New Roman" w:hAnsi="Times New Roman" w:cs="Times New Roman"/>
        </w:rPr>
        <w:fldChar w:fldCharType="separate"/>
      </w:r>
      <w:r>
        <w:rPr>
          <w:rFonts w:ascii="Times New Roman" w:hAnsi="Times New Roman" w:cs="Times New Roman"/>
        </w:rPr>
        <w:t>73</w:t>
      </w:r>
      <w:r>
        <w:rPr>
          <w:rFonts w:ascii="Times New Roman" w:hAnsi="Times New Roman" w:cs="Times New Roman"/>
        </w:rPr>
        <w:fldChar w:fldCharType="end"/>
      </w:r>
      <w:r>
        <w:rPr>
          <w:rFonts w:ascii="Times New Roman" w:hAnsi="Times New Roman" w:cs="Times New Roman"/>
        </w:rPr>
        <w:fldChar w:fldCharType="end"/>
      </w:r>
    </w:p>
    <w:p w14:paraId="36610A99">
      <w:pPr>
        <w:pStyle w:val="37"/>
        <w:tabs>
          <w:tab w:val="left" w:pos="1260"/>
          <w:tab w:val="right" w:leader="dot" w:pos="8494"/>
        </w:tabs>
        <w:rPr>
          <w:rFonts w:ascii="Times New Roman" w:hAnsi="Times New Roman" w:cs="Times New Roman" w:eastAsiaTheme="minorEastAsia"/>
          <w:kern w:val="2"/>
          <w:sz w:val="22"/>
          <w14:ligatures w14:val="standardContextual"/>
        </w:rPr>
      </w:pPr>
      <w:r>
        <w:fldChar w:fldCharType="begin"/>
      </w:r>
      <w:r>
        <w:instrText xml:space="preserve"> HYPERLINK \l "_Toc209125234" </w:instrText>
      </w:r>
      <w:r>
        <w:fldChar w:fldCharType="separate"/>
      </w:r>
      <w:r>
        <w:rPr>
          <w:rStyle w:val="53"/>
          <w:rFonts w:ascii="Times New Roman" w:hAnsi="Times New Roman" w:cs="Times New Roman"/>
        </w:rPr>
        <w:t>3.8</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建设项目拟采取的辐射监测计划和安全管理措施</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_Toc209125234 \h </w:instrText>
      </w:r>
      <w:r>
        <w:rPr>
          <w:rFonts w:ascii="Times New Roman" w:hAnsi="Times New Roman" w:cs="Times New Roman"/>
        </w:rPr>
        <w:fldChar w:fldCharType="separate"/>
      </w:r>
      <w:r>
        <w:rPr>
          <w:rFonts w:ascii="Times New Roman" w:hAnsi="Times New Roman" w:cs="Times New Roman"/>
        </w:rPr>
        <w:t>73</w:t>
      </w:r>
      <w:r>
        <w:rPr>
          <w:rFonts w:ascii="Times New Roman" w:hAnsi="Times New Roman" w:cs="Times New Roman"/>
        </w:rPr>
        <w:fldChar w:fldCharType="end"/>
      </w:r>
      <w:r>
        <w:rPr>
          <w:rFonts w:ascii="Times New Roman" w:hAnsi="Times New Roman" w:cs="Times New Roman"/>
        </w:rPr>
        <w:fldChar w:fldCharType="end"/>
      </w:r>
    </w:p>
    <w:p w14:paraId="43E04EBF">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"_Toc209125235" </w:instrText>
      </w:r>
      <w:r>
        <w:fldChar w:fldCharType="separate"/>
      </w:r>
      <w:r>
        <w:rPr>
          <w:rStyle w:val="53"/>
          <w:rFonts w:ascii="Times New Roman" w:hAnsi="Times New Roman" w:cs="Times New Roman"/>
        </w:rPr>
        <w:t>3.8.1</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辐射监测计划</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_Toc209125235 \h </w:instrText>
      </w:r>
      <w:r>
        <w:rPr>
          <w:rFonts w:ascii="Times New Roman" w:hAnsi="Times New Roman" w:cs="Times New Roman"/>
        </w:rPr>
        <w:fldChar w:fldCharType="separate"/>
      </w:r>
      <w:r>
        <w:rPr>
          <w:rFonts w:ascii="Times New Roman" w:hAnsi="Times New Roman" w:cs="Times New Roman"/>
        </w:rPr>
        <w:t>73</w:t>
      </w:r>
      <w:r>
        <w:rPr>
          <w:rFonts w:ascii="Times New Roman" w:hAnsi="Times New Roman" w:cs="Times New Roman"/>
        </w:rPr>
        <w:fldChar w:fldCharType="end"/>
      </w:r>
      <w:r>
        <w:rPr>
          <w:rFonts w:ascii="Times New Roman" w:hAnsi="Times New Roman" w:cs="Times New Roman"/>
        </w:rPr>
        <w:fldChar w:fldCharType="end"/>
      </w:r>
    </w:p>
    <w:p w14:paraId="0F39D3F3">
      <w:pPr>
        <w:pStyle w:val="21"/>
        <w:rPr>
          <w:rFonts w:ascii="Times New Roman" w:hAnsi="Times New Roman" w:cs="Times New Roman" w:eastAsiaTheme="minorEastAsia"/>
          <w:kern w:val="2"/>
          <w:sz w:val="22"/>
          <w14:ligatures w14:val="standardContextual"/>
        </w:rPr>
      </w:pPr>
      <w:r>
        <w:fldChar w:fldCharType="begin"/>
      </w:r>
      <w:r>
        <w:instrText xml:space="preserve"> HYPERLINK \l "_Toc209125236" </w:instrText>
      </w:r>
      <w:r>
        <w:fldChar w:fldCharType="separate"/>
      </w:r>
      <w:r>
        <w:rPr>
          <w:rStyle w:val="53"/>
          <w:rFonts w:ascii="Times New Roman" w:hAnsi="Times New Roman" w:cs="Times New Roman"/>
        </w:rPr>
        <w:t>3.8.2</w:t>
      </w:r>
      <w:r>
        <w:rPr>
          <w:rFonts w:ascii="Times New Roman" w:hAnsi="Times New Roman" w:cs="Times New Roman" w:eastAsiaTheme="minorEastAsia"/>
          <w:kern w:val="2"/>
          <w:sz w:val="22"/>
          <w14:ligatures w14:val="standardContextual"/>
        </w:rPr>
        <w:tab/>
      </w:r>
      <w:r>
        <w:rPr>
          <w:rStyle w:val="53"/>
          <w:rFonts w:ascii="Times New Roman" w:hAnsi="Times New Roman" w:cs="Times New Roman"/>
        </w:rPr>
        <w:t>辐射安全管理</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_Toc209125236 \h </w:instrText>
      </w:r>
      <w:r>
        <w:rPr>
          <w:rFonts w:ascii="Times New Roman" w:hAnsi="Times New Roman" w:cs="Times New Roman"/>
        </w:rPr>
        <w:fldChar w:fldCharType="separate"/>
      </w:r>
      <w:r>
        <w:rPr>
          <w:rFonts w:ascii="Times New Roman" w:hAnsi="Times New Roman" w:cs="Times New Roman"/>
        </w:rPr>
        <w:t>74</w:t>
      </w:r>
      <w:r>
        <w:rPr>
          <w:rFonts w:ascii="Times New Roman" w:hAnsi="Times New Roman" w:cs="Times New Roman"/>
        </w:rPr>
        <w:fldChar w:fldCharType="end"/>
      </w:r>
      <w:r>
        <w:rPr>
          <w:rFonts w:ascii="Times New Roman" w:hAnsi="Times New Roman" w:cs="Times New Roman"/>
        </w:rPr>
        <w:fldChar w:fldCharType="end"/>
      </w:r>
    </w:p>
    <w:p w14:paraId="3884CD98">
      <w:pPr>
        <w:pStyle w:val="30"/>
        <w:rPr>
          <w:rFonts w:eastAsiaTheme="minorEastAsia"/>
          <w:kern w:val="2"/>
          <w:sz w:val="22"/>
          <w14:ligatures w14:val="standardContextual"/>
        </w:rPr>
      </w:pPr>
      <w:r>
        <w:fldChar w:fldCharType="begin"/>
      </w:r>
      <w:r>
        <w:instrText xml:space="preserve"> HYPERLINK \l "_Toc209125237" </w:instrText>
      </w:r>
      <w:r>
        <w:fldChar w:fldCharType="separate"/>
      </w:r>
      <w:r>
        <w:rPr>
          <w:rStyle w:val="53"/>
        </w:rPr>
        <w:t>4</w:t>
      </w:r>
      <w:r>
        <w:rPr>
          <w:rFonts w:eastAsiaTheme="minorEastAsia"/>
          <w:kern w:val="2"/>
          <w:sz w:val="22"/>
          <w14:ligatures w14:val="standardContextual"/>
        </w:rPr>
        <w:tab/>
      </w:r>
      <w:r>
        <w:rPr>
          <w:rStyle w:val="53"/>
        </w:rPr>
        <w:t>环境影响评价结论</w:t>
      </w:r>
      <w:r>
        <w:tab/>
      </w:r>
      <w:r>
        <w:fldChar w:fldCharType="begin"/>
      </w:r>
      <w:r>
        <w:instrText xml:space="preserve"> PAGEREF _Toc209125237 \h </w:instrText>
      </w:r>
      <w:r>
        <w:fldChar w:fldCharType="separate"/>
      </w:r>
      <w:r>
        <w:t>75</w:t>
      </w:r>
      <w:r>
        <w:fldChar w:fldCharType="end"/>
      </w:r>
      <w:r>
        <w:fldChar w:fldCharType="end"/>
      </w:r>
    </w:p>
    <w:p w14:paraId="59D02286">
      <w:pPr>
        <w:pStyle w:val="30"/>
        <w:rPr>
          <w:rFonts w:eastAsiaTheme="minorEastAsia"/>
          <w:kern w:val="2"/>
          <w:sz w:val="22"/>
          <w14:ligatures w14:val="standardContextual"/>
        </w:rPr>
      </w:pPr>
      <w:r>
        <w:fldChar w:fldCharType="begin"/>
      </w:r>
      <w:r>
        <w:instrText xml:space="preserve"> HYPERLINK \l "_Toc209125238" </w:instrText>
      </w:r>
      <w:r>
        <w:fldChar w:fldCharType="separate"/>
      </w:r>
      <w:r>
        <w:rPr>
          <w:rStyle w:val="53"/>
        </w:rPr>
        <w:t>5</w:t>
      </w:r>
      <w:r>
        <w:rPr>
          <w:rFonts w:eastAsiaTheme="minorEastAsia"/>
          <w:kern w:val="2"/>
          <w:sz w:val="22"/>
          <w14:ligatures w14:val="standardContextual"/>
        </w:rPr>
        <w:tab/>
      </w:r>
      <w:r>
        <w:rPr>
          <w:rStyle w:val="53"/>
        </w:rPr>
        <w:t>联系方式</w:t>
      </w:r>
      <w:r>
        <w:tab/>
      </w:r>
      <w:r>
        <w:fldChar w:fldCharType="begin"/>
      </w:r>
      <w:r>
        <w:instrText xml:space="preserve"> PAGEREF _Toc209125238 \h </w:instrText>
      </w:r>
      <w:r>
        <w:fldChar w:fldCharType="separate"/>
      </w:r>
      <w:r>
        <w:t>75</w:t>
      </w:r>
      <w:r>
        <w:fldChar w:fldCharType="end"/>
      </w:r>
      <w:r>
        <w:fldChar w:fldCharType="end"/>
      </w:r>
    </w:p>
    <w:p w14:paraId="33C24701">
      <w:pPr>
        <w:spacing w:line="360" w:lineRule="auto"/>
      </w:pPr>
      <w:r>
        <w:rPr>
          <w:sz w:val="24"/>
          <w:lang w:val="zh-CN"/>
        </w:rPr>
        <w:fldChar w:fldCharType="end"/>
      </w:r>
    </w:p>
    <w:p w14:paraId="3F2AAFB4">
      <w:pPr>
        <w:spacing w:before="120" w:after="120" w:line="360" w:lineRule="auto"/>
        <w:ind w:left="1325" w:hanging="1325" w:hangingChars="550"/>
        <w:rPr>
          <w:b/>
          <w:bCs/>
          <w:sz w:val="24"/>
        </w:rPr>
        <w:sectPr>
          <w:footerReference r:id="rId11" w:type="default"/>
          <w:pgSz w:w="11906" w:h="16838"/>
          <w:pgMar w:top="1701" w:right="1701" w:bottom="1701" w:left="1701" w:header="851" w:footer="992" w:gutter="0"/>
          <w:pgNumType w:fmt="upperRoman" w:start="1"/>
          <w:cols w:space="720" w:num="1"/>
          <w:docGrid w:type="lines" w:linePitch="312" w:charSpace="0"/>
        </w:sectPr>
      </w:pPr>
    </w:p>
    <w:p w14:paraId="145377B7">
      <w:pPr>
        <w:pStyle w:val="2"/>
        <w:rPr>
          <w:rFonts w:eastAsia="宋体"/>
          <w:b/>
          <w:bCs w:val="0"/>
        </w:rPr>
      </w:pPr>
      <w:bookmarkStart w:id="29" w:name="_Toc71554436"/>
      <w:bookmarkStart w:id="30" w:name="_Toc209125177"/>
      <w:bookmarkStart w:id="31" w:name="_Toc361128407"/>
      <w:bookmarkStart w:id="32" w:name="_Toc360693483"/>
      <w:bookmarkStart w:id="33" w:name="_Toc363461142"/>
      <w:bookmarkStart w:id="34" w:name="_Toc372036420"/>
      <w:bookmarkStart w:id="35" w:name="_Toc426980362"/>
      <w:bookmarkStart w:id="36" w:name="_Toc34738546"/>
      <w:r>
        <w:rPr>
          <w:rFonts w:eastAsia="宋体"/>
          <w:b/>
          <w:bCs w:val="0"/>
        </w:rPr>
        <w:t>概述</w:t>
      </w:r>
      <w:bookmarkEnd w:id="29"/>
      <w:bookmarkEnd w:id="30"/>
      <w:bookmarkEnd w:id="31"/>
      <w:bookmarkEnd w:id="32"/>
      <w:bookmarkEnd w:id="33"/>
      <w:bookmarkEnd w:id="34"/>
      <w:bookmarkEnd w:id="35"/>
      <w:bookmarkEnd w:id="36"/>
    </w:p>
    <w:p w14:paraId="612464C5">
      <w:pPr>
        <w:pStyle w:val="3"/>
        <w:rPr>
          <w:rFonts w:ascii="Times New Roman" w:hAnsi="Times New Roman" w:eastAsia="宋体"/>
          <w:b/>
          <w:bCs w:val="0"/>
        </w:rPr>
      </w:pPr>
      <w:bookmarkStart w:id="37" w:name="_Toc330813035"/>
      <w:bookmarkStart w:id="38" w:name="_Toc360693484"/>
      <w:bookmarkStart w:id="39" w:name="_Toc361128408"/>
      <w:bookmarkStart w:id="40" w:name="_Toc372036421"/>
      <w:bookmarkStart w:id="41" w:name="_Toc363461143"/>
      <w:r>
        <w:rPr>
          <w:rFonts w:ascii="Times New Roman" w:hAnsi="Times New Roman" w:eastAsia="宋体"/>
          <w:b/>
          <w:bCs w:val="0"/>
        </w:rPr>
        <w:t xml:space="preserve"> </w:t>
      </w:r>
      <w:bookmarkStart w:id="42" w:name="_Toc426980363"/>
      <w:bookmarkStart w:id="43" w:name="_Toc209125178"/>
      <w:bookmarkStart w:id="44" w:name="_Toc71554437"/>
      <w:bookmarkStart w:id="45" w:name="_Toc34738547"/>
      <w:r>
        <w:rPr>
          <w:rFonts w:ascii="Times New Roman" w:hAnsi="Times New Roman" w:eastAsia="宋体"/>
          <w:b/>
          <w:bCs w:val="0"/>
        </w:rPr>
        <w:t>项目</w:t>
      </w:r>
      <w:bookmarkEnd w:id="37"/>
      <w:bookmarkEnd w:id="38"/>
      <w:bookmarkEnd w:id="39"/>
      <w:bookmarkEnd w:id="40"/>
      <w:bookmarkEnd w:id="41"/>
      <w:bookmarkEnd w:id="42"/>
      <w:r>
        <w:rPr>
          <w:rFonts w:ascii="Times New Roman" w:hAnsi="Times New Roman" w:eastAsia="宋体"/>
          <w:b/>
          <w:bCs w:val="0"/>
        </w:rPr>
        <w:t>名称、地点</w:t>
      </w:r>
      <w:bookmarkEnd w:id="43"/>
      <w:bookmarkEnd w:id="44"/>
      <w:bookmarkEnd w:id="45"/>
    </w:p>
    <w:p w14:paraId="4C3AC9BC">
      <w:pPr>
        <w:pStyle w:val="8"/>
      </w:pPr>
      <w:bookmarkStart w:id="46" w:name="_Toc361128409"/>
      <w:bookmarkStart w:id="47" w:name="_Toc372036422"/>
      <w:bookmarkStart w:id="48" w:name="_Toc363461144"/>
      <w:r>
        <w:t>项目名称：广州科学城质子治疗中心新建项目</w:t>
      </w:r>
    </w:p>
    <w:p w14:paraId="065A07EB">
      <w:pPr>
        <w:pStyle w:val="8"/>
        <w:rPr>
          <w:lang w:eastAsia="zh-CN"/>
        </w:rPr>
      </w:pPr>
      <w:r>
        <w:t>建设地点</w:t>
      </w:r>
      <w:r>
        <w:rPr>
          <w:lang w:eastAsia="zh-CN"/>
        </w:rPr>
        <w:t>：中山大学附属第三医院岭南医院内</w:t>
      </w:r>
    </w:p>
    <w:p w14:paraId="46EE74F3">
      <w:pPr>
        <w:pStyle w:val="8"/>
        <w:rPr>
          <w:lang w:eastAsia="zh-CN"/>
        </w:rPr>
      </w:pPr>
      <w:r>
        <w:t>建设性质：</w:t>
      </w:r>
      <w:r>
        <w:rPr>
          <w:lang w:eastAsia="zh-CN"/>
        </w:rPr>
        <w:t>新</w:t>
      </w:r>
      <w:r>
        <w:t>建</w:t>
      </w:r>
    </w:p>
    <w:p w14:paraId="4509590E">
      <w:pPr>
        <w:pStyle w:val="8"/>
        <w:rPr>
          <w:lang w:eastAsia="zh-CN"/>
        </w:rPr>
      </w:pPr>
      <w:r>
        <w:rPr>
          <w:rFonts w:hint="eastAsia"/>
          <w:lang w:eastAsia="zh-CN"/>
        </w:rPr>
        <w:t>建设单位：</w:t>
      </w:r>
      <w:r>
        <w:rPr>
          <w:lang w:eastAsia="zh-CN"/>
        </w:rPr>
        <w:t>中山大学附属第三医院岭南医院</w:t>
      </w:r>
    </w:p>
    <w:p w14:paraId="064A0991">
      <w:pPr>
        <w:pStyle w:val="8"/>
      </w:pPr>
      <w:r>
        <w:t>建设规模</w:t>
      </w:r>
      <w:r>
        <w:rPr>
          <w:lang w:eastAsia="zh-CN"/>
        </w:rPr>
        <w:t>：</w:t>
      </w:r>
      <w:r>
        <w:t>在中山大学附属第三医院岭南医院院区内拟建1栋3层、性质为医院（质子治疗中心）的医疗建筑，包含办公、会议、质子治疗功能，首层设有一个质子治疗间、一间CT用房，总建筑面积2191.62平方米。拟使用一套质子治疗装置，质子最高能量为230MeV，属于Ⅰ类射线装置。质子治疗室拟配备2个X射线管，属于Ⅲ类射线装置。拟使用</w:t>
      </w:r>
      <w:r>
        <w:rPr>
          <w:lang w:eastAsia="zh-CN"/>
        </w:rPr>
        <w:t>1</w:t>
      </w:r>
      <w:r>
        <w:t>台滑轨CT机和1台定位CT机，均属于Ⅲ类射线装置</w:t>
      </w:r>
      <w:r>
        <w:rPr>
          <w:lang w:eastAsia="zh-CN"/>
        </w:rPr>
        <w:t>。</w:t>
      </w:r>
    </w:p>
    <w:p w14:paraId="2A82BB6F">
      <w:pPr>
        <w:pStyle w:val="8"/>
        <w:rPr>
          <w:lang w:eastAsia="zh-CN"/>
        </w:rPr>
      </w:pPr>
      <w:r>
        <w:rPr>
          <w:snapToGrid w:val="0"/>
        </w:rPr>
        <w:t>项目投资：项目立项总投资27701万元，其中环保投资约1600万元，占总投资约5.78%。</w:t>
      </w:r>
    </w:p>
    <w:bookmarkEnd w:id="46"/>
    <w:bookmarkEnd w:id="47"/>
    <w:bookmarkEnd w:id="48"/>
    <w:p w14:paraId="745D4805">
      <w:pPr>
        <w:pStyle w:val="3"/>
        <w:rPr>
          <w:rFonts w:ascii="Times New Roman" w:hAnsi="Times New Roman" w:eastAsia="宋体"/>
          <w:b/>
          <w:bCs w:val="0"/>
        </w:rPr>
      </w:pPr>
      <w:bookmarkStart w:id="49" w:name="_Toc71554438"/>
      <w:bookmarkStart w:id="50" w:name="_Toc209125179"/>
      <w:bookmarkStart w:id="51" w:name="_Toc34738548"/>
      <w:r>
        <w:rPr>
          <w:rFonts w:ascii="Times New Roman" w:hAnsi="Times New Roman" w:eastAsia="宋体"/>
          <w:b/>
          <w:bCs w:val="0"/>
        </w:rPr>
        <w:t>项目概况</w:t>
      </w:r>
      <w:bookmarkEnd w:id="49"/>
      <w:bookmarkEnd w:id="50"/>
      <w:bookmarkEnd w:id="51"/>
    </w:p>
    <w:p w14:paraId="39A0D896">
      <w:pPr>
        <w:pStyle w:val="4"/>
        <w:rPr>
          <w:rFonts w:eastAsia="宋体"/>
          <w:b/>
          <w:bCs w:val="0"/>
        </w:rPr>
      </w:pPr>
      <w:bookmarkStart w:id="52" w:name="_Toc71554439"/>
      <w:bookmarkStart w:id="53" w:name="_Toc34738549"/>
      <w:bookmarkStart w:id="54" w:name="_Toc209125180"/>
      <w:r>
        <w:rPr>
          <w:rFonts w:hint="eastAsia" w:eastAsia="宋体"/>
          <w:b/>
          <w:bCs w:val="0"/>
          <w:lang w:eastAsia="zh-CN"/>
        </w:rPr>
        <w:t>建设单位</w:t>
      </w:r>
      <w:r>
        <w:rPr>
          <w:rFonts w:eastAsia="宋体"/>
          <w:b/>
          <w:bCs w:val="0"/>
        </w:rPr>
        <w:t>概况</w:t>
      </w:r>
      <w:bookmarkEnd w:id="52"/>
      <w:bookmarkEnd w:id="53"/>
      <w:bookmarkEnd w:id="54"/>
    </w:p>
    <w:p w14:paraId="05B0C037">
      <w:pPr>
        <w:pStyle w:val="8"/>
        <w:rPr>
          <w:lang w:eastAsia="zh-CN"/>
        </w:rPr>
      </w:pPr>
      <w:bookmarkStart w:id="55" w:name="_Hlk208924938"/>
      <w:r>
        <w:rPr>
          <w:lang w:eastAsia="zh-CN"/>
        </w:rPr>
        <w:t>中山大学附属第三医院岭南医院</w:t>
      </w:r>
      <w:bookmarkEnd w:id="55"/>
      <w:r>
        <w:rPr>
          <w:lang w:eastAsia="zh-CN"/>
        </w:rPr>
        <w:t>是原萝岗区政府、中山大学、中山大学附属第三医院合作共建的非营利性综合性三级医院，集医疗、预防、保健、康复、教学、科研于一体。经过五年的建设和筹备，2011年9月8日正式启用。</w:t>
      </w:r>
    </w:p>
    <w:p w14:paraId="68CAA59E">
      <w:pPr>
        <w:pStyle w:val="8"/>
        <w:rPr>
          <w:lang w:eastAsia="zh-CN"/>
        </w:rPr>
      </w:pPr>
      <w:r>
        <w:rPr>
          <w:lang w:eastAsia="zh-CN"/>
        </w:rPr>
        <w:t>岭南医院地处广州东大门——黄埔行政中心区，总占地面积8.7万平方米，总规划面积近30万平方米，床位数1500张，目前一期总建筑面积9.2万平方米，开放床位661余张。医院医疗设施配备齐全，科室功能完善，专科特色明显。现设有24个病区。</w:t>
      </w:r>
    </w:p>
    <w:p w14:paraId="65F8E343">
      <w:pPr>
        <w:pStyle w:val="8"/>
        <w:rPr>
          <w:lang w:eastAsia="zh-CN"/>
        </w:rPr>
      </w:pPr>
      <w:r>
        <w:rPr>
          <w:lang w:eastAsia="zh-CN"/>
        </w:rPr>
        <w:t>岭南医院接受中山大学附属第三医院的垂直管理，依托院本部强大的医、教、研团队及品牌效益等优势，在学科建设、人才培养、资源配置等方面实行一体化运行，切实有效地保障岭南医院的医疗质量水平，确保病人享受与院本部同质的诊疗服务。医院还根据区域优势、环境特点，着力发展器官移植、血液骨髓移植、耳内科、儿童发育行为等特色专科。腔镜治疗技术、伤口造口治疗技术、介入治疗技术、生物治疗技术等医疗技术也在岭南医院获得了长足的发展。待二期建设完成后，岭南医院将进一步完善学科设置，做好复杂疑难、危重疾病诊治工作，充分发挥多学科协作医疗技术优势，带动区域内整体医疗技术水平提升。</w:t>
      </w:r>
    </w:p>
    <w:p w14:paraId="5FAB8455">
      <w:pPr>
        <w:pStyle w:val="8"/>
        <w:rPr>
          <w:lang w:eastAsia="zh-CN"/>
        </w:rPr>
      </w:pPr>
      <w:r>
        <w:rPr>
          <w:rFonts w:hint="eastAsia"/>
          <w:lang w:eastAsia="zh-CN"/>
        </w:rPr>
        <w:t>本项目由广州开发区财政投资建设区建管中心代建、国家财政拨款，建设完成后交由中山大学附属第三医院岭南医院运营及管理。区建管中心位于广州市黄埔区，成立于2005年，是一个专门负责财政投资项目管理的事业单位。</w:t>
      </w:r>
    </w:p>
    <w:p w14:paraId="130ABFF9">
      <w:pPr>
        <w:pStyle w:val="4"/>
        <w:rPr>
          <w:rFonts w:eastAsia="宋体"/>
          <w:b/>
          <w:bCs w:val="0"/>
        </w:rPr>
      </w:pPr>
      <w:bookmarkStart w:id="56" w:name="_Toc34738550"/>
      <w:bookmarkStart w:id="57" w:name="_Toc209125181"/>
      <w:bookmarkStart w:id="58" w:name="_Toc71554440"/>
      <w:r>
        <w:rPr>
          <w:rFonts w:eastAsia="宋体"/>
          <w:b/>
          <w:bCs w:val="0"/>
        </w:rPr>
        <w:t>项目背景、意义</w:t>
      </w:r>
      <w:bookmarkEnd w:id="56"/>
      <w:bookmarkEnd w:id="57"/>
      <w:bookmarkEnd w:id="58"/>
    </w:p>
    <w:p w14:paraId="3869C2D8">
      <w:pPr>
        <w:pStyle w:val="8"/>
      </w:pPr>
      <w:bookmarkStart w:id="59" w:name="_Hlk176353748"/>
      <w:r>
        <w:t>健康是促进人全面发展的必然要求，是经济社会发展的基础条件。实现国民健康长寿，是国家富强、民族振兴的重要标志，也是全国各族人民的共同愿望。随着经济和科技的发展，癌症的诱发因素增多，已逐渐作为危害人体健康最大的因素之一。据世界卫生组织的数据显示，全球每年有数百万人被诊断出患有癌症，而且这个数字还在持续增长。传统的癌症治疗方法包括化疗、放疗和手术，虽然在一定程度上可以控制疾病的发展，但是这些治疗方法也会对患者的身体造成一定程度的损伤，尤其是对于一些难治性癌症来说，传统治疗方法的效果并不理想。因此，人们对于更有效的癌症治疗方法的需求日益增加。</w:t>
      </w:r>
    </w:p>
    <w:p w14:paraId="4C64A7BE">
      <w:pPr>
        <w:pStyle w:val="8"/>
      </w:pPr>
      <w:r>
        <w:t>质子中心的建设正是为了满足这种需求。质子治疗是一种相对较新的癌症治疗方法，它利用质子束直接瞄准癌细胞，释放高能量，从而摧毁癌细胞，而对周围正常组织的损伤要比传统放疗小得多。因此，质子治疗可以更有效地控制癌症的发展，同时也减少了对患者身体的损伤，提高了治疗的安全性和舒适性。这种治疗方法尤其适用于一些难治性癌症，如脑瘤、儿童肿瘤等，因此备受医学界和患者的关注。但由于设备结构复杂、基建难度大、人员配备等要求极高，国内质子治疗一直发展缓慢。科学城质子放疗中心的建设目标，是在保证患者治疗效果的前提下，能够有效缩短患者治疗时间。坚持严格把好治疗指征，确保质子治疗效益最大化，造福更多肿瘤患者。</w:t>
      </w:r>
    </w:p>
    <w:p w14:paraId="1FB45AD0">
      <w:pPr>
        <w:pStyle w:val="8"/>
        <w:rPr>
          <w:lang w:eastAsia="zh-CN"/>
        </w:rPr>
      </w:pPr>
      <w:r>
        <w:t>项目建设完成后，将成为立足粤港澳大湾区的质子放疗中心。同时面向东南亚，让肿瘤患者能享受到国际上高端的肿瘤治疗技术和更高质量、更高水平、更高层次的医疗服务；同时借助质子治疗，率先打造国内顶级的肿瘤放疗中心，实现放疗学科国内领先的宏伟目标。</w:t>
      </w:r>
    </w:p>
    <w:bookmarkEnd w:id="59"/>
    <w:p w14:paraId="31E7F2FB">
      <w:pPr>
        <w:pStyle w:val="4"/>
        <w:rPr>
          <w:rFonts w:eastAsia="宋体"/>
          <w:b/>
          <w:bCs w:val="0"/>
        </w:rPr>
      </w:pPr>
      <w:bookmarkStart w:id="60" w:name="_Toc209125182"/>
      <w:bookmarkStart w:id="61" w:name="_Toc71554441"/>
      <w:bookmarkStart w:id="62" w:name="_Toc34738551"/>
      <w:r>
        <w:rPr>
          <w:rFonts w:eastAsia="宋体"/>
          <w:b/>
          <w:bCs w:val="0"/>
        </w:rPr>
        <w:t>本次环评内容</w:t>
      </w:r>
      <w:bookmarkEnd w:id="60"/>
      <w:bookmarkEnd w:id="61"/>
      <w:bookmarkEnd w:id="62"/>
    </w:p>
    <w:p w14:paraId="1C8EBF36">
      <w:pPr>
        <w:spacing w:before="156" w:beforeLines="50" w:after="156" w:afterLines="50" w:line="360" w:lineRule="auto"/>
        <w:ind w:firstLine="480" w:firstLineChars="200"/>
        <w:rPr>
          <w:color w:val="000000"/>
          <w:kern w:val="0"/>
          <w:sz w:val="24"/>
          <w:lang w:val="zh-CN"/>
        </w:rPr>
      </w:pPr>
      <w:bookmarkStart w:id="63" w:name="_Toc45987648"/>
      <w:bookmarkStart w:id="64" w:name="_Ref43939595"/>
      <w:bookmarkStart w:id="65" w:name="_Toc150973427"/>
      <w:r>
        <w:rPr>
          <w:color w:val="000000"/>
          <w:kern w:val="0"/>
          <w:sz w:val="24"/>
          <w:lang w:val="zh-CN"/>
        </w:rPr>
        <w:t>项目位于中山大学附属第三医院岭南医院内，本</w:t>
      </w:r>
      <w:r>
        <w:rPr>
          <w:color w:val="000000"/>
          <w:kern w:val="0"/>
          <w:sz w:val="24"/>
          <w:lang w:val="zh-CN" w:eastAsia="zh-CN"/>
        </w:rPr>
        <w:t>项目总建筑面积2191.62平方米，其中地上1566.33平方米</w:t>
      </w:r>
      <w:r>
        <w:rPr>
          <w:color w:val="000000"/>
          <w:kern w:val="0"/>
          <w:sz w:val="24"/>
          <w:lang w:val="zh-CN"/>
        </w:rPr>
        <w:t>。</w:t>
      </w:r>
    </w:p>
    <w:p w14:paraId="2B4A495E">
      <w:pPr>
        <w:spacing w:before="156" w:beforeLines="50" w:after="156" w:afterLines="50" w:line="360" w:lineRule="auto"/>
        <w:ind w:firstLine="480" w:firstLineChars="200"/>
        <w:rPr>
          <w:sz w:val="24"/>
        </w:rPr>
      </w:pPr>
      <w:r>
        <w:rPr>
          <w:sz w:val="24"/>
        </w:rPr>
        <w:t>本项目非辐射内容已于2025年7月30日完成建设项目环境影响登记表的填写。本次环评主要关注辐射有关内容，评价对象为质子中心内使用的质子治疗系统和配套使用的2个X射线管、1台滑轨CT机以及1台定位CT机，具体如下：</w:t>
      </w:r>
    </w:p>
    <w:p w14:paraId="5BED7151">
      <w:pPr>
        <w:spacing w:before="156" w:beforeLines="50" w:after="156" w:afterLines="50" w:line="360" w:lineRule="auto"/>
        <w:ind w:firstLine="480" w:firstLineChars="200"/>
        <w:rPr>
          <w:sz w:val="24"/>
        </w:rPr>
      </w:pPr>
      <w:r>
        <w:rPr>
          <w:sz w:val="24"/>
        </w:rPr>
        <w:t>（1）质子治疗系统</w:t>
      </w:r>
    </w:p>
    <w:p w14:paraId="3F2105EB">
      <w:pPr>
        <w:spacing w:before="156" w:beforeLines="50" w:after="156" w:afterLines="50" w:line="360" w:lineRule="auto"/>
        <w:ind w:firstLine="480" w:firstLineChars="200"/>
        <w:rPr>
          <w:color w:val="000000"/>
          <w:sz w:val="24"/>
          <w:lang w:val="zh-CN" w:eastAsia="zh-CN"/>
        </w:rPr>
      </w:pPr>
      <w:r>
        <w:rPr>
          <w:sz w:val="24"/>
        </w:rPr>
        <w:t>拟在质子中心西侧的地下一层至地上二层建设1间质子治疗机房，拟使</w:t>
      </w:r>
      <w:r>
        <w:rPr>
          <w:color w:val="000000"/>
          <w:sz w:val="24"/>
          <w:lang w:val="zh-CN" w:eastAsia="zh-CN"/>
        </w:rPr>
        <w:t>用质子治疗系统，质子最高能量为230MeV，属于Ⅰ类射线装置。</w:t>
      </w:r>
    </w:p>
    <w:p w14:paraId="70ECEBE0">
      <w:pPr>
        <w:spacing w:before="156" w:beforeLines="50" w:after="156" w:afterLines="50" w:line="360" w:lineRule="auto"/>
        <w:ind w:firstLine="480" w:firstLineChars="200"/>
        <w:rPr>
          <w:color w:val="000000"/>
          <w:kern w:val="0"/>
          <w:sz w:val="24"/>
          <w:lang w:val="zh-CN"/>
        </w:rPr>
      </w:pPr>
      <w:r>
        <w:rPr>
          <w:color w:val="000000"/>
          <w:kern w:val="0"/>
          <w:sz w:val="24"/>
          <w:lang w:val="zh-CN"/>
        </w:rPr>
        <w:t>质子治疗室拟配备2个X射线管，每个X射线管的最大管电压150kV，最大管电流为1000mA，属于Ⅲ类射线装置。</w:t>
      </w:r>
    </w:p>
    <w:p w14:paraId="4C21D29B">
      <w:pPr>
        <w:spacing w:before="156" w:beforeLines="50" w:after="156" w:afterLines="50" w:line="360" w:lineRule="auto"/>
        <w:ind w:firstLine="480" w:firstLineChars="200"/>
        <w:rPr>
          <w:color w:val="000000"/>
          <w:kern w:val="0"/>
          <w:sz w:val="24"/>
          <w:lang w:val="zh-CN"/>
        </w:rPr>
      </w:pPr>
      <w:r>
        <w:rPr>
          <w:color w:val="000000"/>
          <w:kern w:val="0"/>
          <w:sz w:val="24"/>
          <w:lang w:val="zh-CN"/>
        </w:rPr>
        <w:t>此外，拟在质子治疗机房配备1台滑轨CT机，CT机的最大管电压为140kV，最大管电流为660mA，属于Ⅲ类射线装置。</w:t>
      </w:r>
    </w:p>
    <w:p w14:paraId="4899633E">
      <w:pPr>
        <w:spacing w:before="156" w:beforeLines="50" w:after="156" w:afterLines="50" w:line="360" w:lineRule="auto"/>
        <w:ind w:firstLine="480" w:firstLineChars="200"/>
        <w:rPr>
          <w:color w:val="000000"/>
          <w:kern w:val="0"/>
          <w:sz w:val="24"/>
          <w:lang w:val="zh-CN"/>
        </w:rPr>
      </w:pPr>
      <w:r>
        <w:rPr>
          <w:color w:val="000000"/>
          <w:kern w:val="0"/>
          <w:sz w:val="24"/>
          <w:lang w:val="zh-CN"/>
        </w:rPr>
        <w:t>（2）定位CT机</w:t>
      </w:r>
    </w:p>
    <w:p w14:paraId="25A5CBB7">
      <w:pPr>
        <w:spacing w:before="156" w:beforeLines="50" w:after="156" w:afterLines="50" w:line="360" w:lineRule="auto"/>
        <w:ind w:firstLine="480" w:firstLineChars="200"/>
        <w:rPr>
          <w:color w:val="000000"/>
          <w:kern w:val="0"/>
          <w:sz w:val="24"/>
          <w:lang w:val="zh-CN"/>
        </w:rPr>
      </w:pPr>
      <w:r>
        <w:rPr>
          <w:color w:val="000000"/>
          <w:kern w:val="0"/>
          <w:sz w:val="24"/>
          <w:lang w:val="zh-CN"/>
        </w:rPr>
        <w:t>拟在质子中心地上一层北侧建设1间定位CT机房，最大管电压为150kV，最大管电流为1300mA。</w:t>
      </w:r>
    </w:p>
    <w:bookmarkEnd w:id="63"/>
    <w:bookmarkEnd w:id="64"/>
    <w:bookmarkEnd w:id="65"/>
    <w:p w14:paraId="2A322D77">
      <w:pPr>
        <w:pStyle w:val="8"/>
      </w:pPr>
      <w:r>
        <w:t>根据《射线装置分类》的规定，</w:t>
      </w:r>
      <w:r>
        <w:rPr>
          <w:lang w:eastAsia="zh-CN"/>
        </w:rPr>
        <w:t>质</w:t>
      </w:r>
      <w:r>
        <w:t>子治疗系统管理类别属于</w:t>
      </w:r>
      <w:r>
        <w:fldChar w:fldCharType="begin"/>
      </w:r>
      <w:r>
        <w:instrText xml:space="preserve"> = 1 \* ROMAN </w:instrText>
      </w:r>
      <w:r>
        <w:fldChar w:fldCharType="separate"/>
      </w:r>
      <w:r>
        <w:t>I</w:t>
      </w:r>
      <w:r>
        <w:fldChar w:fldCharType="end"/>
      </w:r>
      <w:r>
        <w:t>类射线装置。根据《建设项目环境影响评价分类管理名录》（生态环境部令 第16号，2021年）以及《放射性同位素与射线装置安全许可管理办法》（生态环境部令第20号，2021年）的规定，本项目环境影响评价文件类别确定为编制环境影响报告书。因此，中国原子能科学研究院</w:t>
      </w:r>
      <w:r>
        <w:rPr>
          <w:lang w:eastAsia="zh-CN"/>
        </w:rPr>
        <w:t>接</w:t>
      </w:r>
      <w:r>
        <w:t>受建设单位的委托，负责本项目的环评工作。</w:t>
      </w:r>
    </w:p>
    <w:p w14:paraId="6207066B">
      <w:pPr>
        <w:pStyle w:val="4"/>
        <w:rPr>
          <w:rFonts w:eastAsia="宋体"/>
          <w:b/>
          <w:bCs w:val="0"/>
        </w:rPr>
      </w:pPr>
      <w:bookmarkStart w:id="66" w:name="_Toc34738552"/>
      <w:bookmarkStart w:id="67" w:name="_Toc71554442"/>
      <w:bookmarkStart w:id="68" w:name="_Toc19546292"/>
      <w:bookmarkStart w:id="69" w:name="_Toc209125183"/>
      <w:r>
        <w:rPr>
          <w:rFonts w:eastAsia="宋体"/>
          <w:b/>
          <w:bCs w:val="0"/>
        </w:rPr>
        <w:t>产业政策和规划符合性</w:t>
      </w:r>
      <w:bookmarkEnd w:id="66"/>
      <w:bookmarkEnd w:id="67"/>
      <w:bookmarkEnd w:id="68"/>
      <w:bookmarkEnd w:id="69"/>
    </w:p>
    <w:p w14:paraId="428E2F0E">
      <w:pPr>
        <w:pStyle w:val="5"/>
        <w:tabs>
          <w:tab w:val="clear" w:pos="864"/>
        </w:tabs>
        <w:ind w:left="862" w:hanging="862"/>
      </w:pPr>
      <w:r>
        <w:t>产业政策符合性</w:t>
      </w:r>
    </w:p>
    <w:p w14:paraId="7BBBA168">
      <w:pPr>
        <w:pStyle w:val="8"/>
        <w:adjustRightInd w:val="0"/>
        <w:snapToGrid w:val="0"/>
        <w:spacing w:before="0" w:beforeLines="0" w:after="0" w:afterLines="0"/>
        <w:rPr>
          <w:color w:val="auto"/>
          <w:lang w:eastAsia="zh-CN"/>
        </w:rPr>
      </w:pPr>
      <w:r>
        <w:t>本项目属于</w:t>
      </w:r>
      <w:r>
        <w:rPr>
          <w:color w:val="auto"/>
        </w:rPr>
        <w:t>《产业结构调整指导目录》（2024年本），本项目属于其中</w:t>
      </w:r>
      <w:r>
        <w:rPr>
          <w:b/>
          <w:color w:val="auto"/>
        </w:rPr>
        <w:t>鼓励类</w:t>
      </w:r>
      <w:r>
        <w:rPr>
          <w:color w:val="auto"/>
        </w:rPr>
        <w:t>第六项“</w:t>
      </w:r>
      <w:r>
        <w:rPr>
          <w:b/>
          <w:color w:val="auto"/>
        </w:rPr>
        <w:t>核能</w:t>
      </w:r>
      <w:r>
        <w:rPr>
          <w:color w:val="auto"/>
        </w:rPr>
        <w:t>”第4条“同位素、加速器及辐照应用技术开发”项目，本项目建设符合国家产业政策。</w:t>
      </w:r>
    </w:p>
    <w:p w14:paraId="74E58F7D">
      <w:pPr>
        <w:pStyle w:val="5"/>
        <w:tabs>
          <w:tab w:val="left" w:pos="0"/>
        </w:tabs>
      </w:pPr>
      <w:r>
        <w:t>规划符合性分析</w:t>
      </w:r>
    </w:p>
    <w:p w14:paraId="25BEA147">
      <w:pPr>
        <w:pStyle w:val="6"/>
      </w:pPr>
      <w:r>
        <w:t>与医疗卫生相关规划符合性</w:t>
      </w:r>
    </w:p>
    <w:p w14:paraId="0C235260">
      <w:pPr>
        <w:pStyle w:val="8"/>
        <w:rPr>
          <w:lang w:eastAsia="zh-CN"/>
        </w:rPr>
      </w:pPr>
      <w:r>
        <w:rPr>
          <w:lang w:eastAsia="zh-CN"/>
        </w:rPr>
        <w:t>（1）与国家发展规划的符合性</w:t>
      </w:r>
    </w:p>
    <w:p w14:paraId="6AA5CE79">
      <w:pPr>
        <w:pStyle w:val="8"/>
        <w:rPr>
          <w:lang w:eastAsia="zh-CN"/>
        </w:rPr>
      </w:pPr>
      <w:r>
        <w:rPr>
          <w:lang w:eastAsia="zh-CN"/>
        </w:rPr>
        <w:t>《中华人民共和国国民经济和社会发展第十四个五年规划和2035年远景目标纲要》：完善突发公共卫生事件监测预警处置机制，加强实验室检测网络建设，健全医疗救治、科技支撑、物资保障体系，提高应对突发公共卫生事件能力。建立分级分层分流的传染病救治网络，建立健全统一的国家公共卫生应急物资储备体系，大型公共建筑预设平疫结合改造接口。2016年中共中央政治局会议上审议通过的《“健康中国2030”规划纲要》中，也多次提出将重大疾病防治、癌症诊治工作作为重要目标，加强医药技术创新发展以及医药体系的完善。因此，本项目的建设与国家医疗卫生事业相关规划是相符的。</w:t>
      </w:r>
    </w:p>
    <w:p w14:paraId="6AD89865">
      <w:pPr>
        <w:pStyle w:val="6"/>
      </w:pPr>
      <w:bookmarkStart w:id="70" w:name="_Toc21597422"/>
      <w:bookmarkEnd w:id="70"/>
      <w:bookmarkStart w:id="71" w:name="_Toc21622171"/>
      <w:bookmarkEnd w:id="71"/>
      <w:bookmarkStart w:id="72" w:name="_Toc23846461"/>
      <w:bookmarkEnd w:id="72"/>
      <w:bookmarkStart w:id="73" w:name="_Toc23952611"/>
      <w:bookmarkEnd w:id="73"/>
      <w:bookmarkStart w:id="74" w:name="_Toc24548586"/>
      <w:bookmarkEnd w:id="74"/>
      <w:bookmarkStart w:id="75" w:name="_Toc21597421"/>
      <w:bookmarkEnd w:id="75"/>
      <w:bookmarkStart w:id="76" w:name="_Toc21622170"/>
      <w:bookmarkEnd w:id="76"/>
      <w:bookmarkStart w:id="77" w:name="_Toc23257562"/>
      <w:bookmarkEnd w:id="77"/>
      <w:bookmarkStart w:id="78" w:name="_Toc23846460"/>
      <w:bookmarkEnd w:id="78"/>
      <w:bookmarkStart w:id="79" w:name="_Toc23952610"/>
      <w:bookmarkEnd w:id="79"/>
      <w:bookmarkStart w:id="80" w:name="_Toc23257563"/>
      <w:bookmarkEnd w:id="80"/>
      <w:bookmarkStart w:id="81" w:name="_Toc24548585"/>
      <w:bookmarkEnd w:id="81"/>
      <w:bookmarkStart w:id="82" w:name="_Toc34298286"/>
      <w:bookmarkEnd w:id="82"/>
      <w:bookmarkStart w:id="83" w:name="_Toc23257565"/>
      <w:bookmarkEnd w:id="83"/>
      <w:bookmarkStart w:id="84" w:name="_Toc23952613"/>
      <w:bookmarkEnd w:id="84"/>
      <w:bookmarkStart w:id="85" w:name="_Toc23257566"/>
      <w:bookmarkEnd w:id="85"/>
      <w:bookmarkStart w:id="86" w:name="_Toc23846464"/>
      <w:bookmarkEnd w:id="86"/>
      <w:bookmarkStart w:id="87" w:name="_Toc34298287"/>
      <w:bookmarkEnd w:id="87"/>
      <w:bookmarkStart w:id="88" w:name="_Toc23952614"/>
      <w:bookmarkEnd w:id="88"/>
      <w:bookmarkStart w:id="89" w:name="_Toc23952612"/>
      <w:bookmarkEnd w:id="89"/>
      <w:bookmarkStart w:id="90" w:name="_Toc24548588"/>
      <w:bookmarkEnd w:id="90"/>
      <w:bookmarkStart w:id="91" w:name="_Toc24548589"/>
      <w:bookmarkEnd w:id="91"/>
      <w:bookmarkStart w:id="92" w:name="_Toc23257567"/>
      <w:bookmarkEnd w:id="92"/>
      <w:bookmarkStart w:id="93" w:name="_Toc23952615"/>
      <w:bookmarkEnd w:id="93"/>
      <w:bookmarkStart w:id="94" w:name="_Toc21597425"/>
      <w:bookmarkEnd w:id="94"/>
      <w:bookmarkStart w:id="95" w:name="_Toc21597426"/>
      <w:bookmarkEnd w:id="95"/>
      <w:bookmarkStart w:id="96" w:name="_Toc23257564"/>
      <w:bookmarkEnd w:id="96"/>
      <w:bookmarkStart w:id="97" w:name="_Toc23846462"/>
      <w:bookmarkEnd w:id="97"/>
      <w:bookmarkStart w:id="98" w:name="_Toc34298288"/>
      <w:bookmarkEnd w:id="98"/>
      <w:bookmarkStart w:id="99" w:name="_Toc21597423"/>
      <w:bookmarkEnd w:id="99"/>
      <w:bookmarkStart w:id="100" w:name="_Toc21622173"/>
      <w:bookmarkEnd w:id="100"/>
      <w:bookmarkStart w:id="101" w:name="_Toc23846463"/>
      <w:bookmarkEnd w:id="101"/>
      <w:bookmarkStart w:id="102" w:name="_Toc34298289"/>
      <w:bookmarkEnd w:id="102"/>
      <w:bookmarkStart w:id="103" w:name="_Toc24548587"/>
      <w:bookmarkEnd w:id="103"/>
      <w:bookmarkStart w:id="104" w:name="_Toc34298290"/>
      <w:bookmarkEnd w:id="104"/>
      <w:bookmarkStart w:id="105" w:name="_Toc21597424"/>
      <w:bookmarkEnd w:id="105"/>
      <w:bookmarkStart w:id="106" w:name="_Toc21622174"/>
      <w:bookmarkEnd w:id="106"/>
      <w:bookmarkStart w:id="107" w:name="_Toc21622175"/>
      <w:bookmarkEnd w:id="107"/>
      <w:bookmarkStart w:id="108" w:name="_Toc23846465"/>
      <w:bookmarkEnd w:id="108"/>
      <w:bookmarkStart w:id="109" w:name="_Toc24548590"/>
      <w:bookmarkEnd w:id="109"/>
      <w:bookmarkStart w:id="110" w:name="_Toc34298291"/>
      <w:bookmarkEnd w:id="110"/>
      <w:bookmarkStart w:id="111" w:name="_Toc21622172"/>
      <w:bookmarkEnd w:id="111"/>
      <w:bookmarkStart w:id="112" w:name="_Toc23846466"/>
      <w:bookmarkEnd w:id="112"/>
      <w:bookmarkStart w:id="113" w:name="_Toc34298292"/>
      <w:bookmarkEnd w:id="113"/>
      <w:bookmarkStart w:id="114" w:name="_Toc23952616"/>
      <w:bookmarkEnd w:id="114"/>
      <w:bookmarkStart w:id="115" w:name="_Toc21622177"/>
      <w:bookmarkEnd w:id="115"/>
      <w:bookmarkStart w:id="116" w:name="_Toc23846467"/>
      <w:bookmarkEnd w:id="116"/>
      <w:bookmarkStart w:id="117" w:name="_Toc23952618"/>
      <w:bookmarkEnd w:id="117"/>
      <w:bookmarkStart w:id="118" w:name="_Toc34298294"/>
      <w:bookmarkEnd w:id="118"/>
      <w:bookmarkStart w:id="119" w:name="_Toc23846468"/>
      <w:bookmarkEnd w:id="119"/>
      <w:bookmarkStart w:id="120" w:name="_Toc21597430"/>
      <w:bookmarkEnd w:id="120"/>
      <w:bookmarkStart w:id="121" w:name="_Toc24548592"/>
      <w:bookmarkEnd w:id="121"/>
      <w:bookmarkStart w:id="122" w:name="_Toc23257571"/>
      <w:bookmarkEnd w:id="122"/>
      <w:bookmarkStart w:id="123" w:name="_Toc21597429"/>
      <w:bookmarkEnd w:id="123"/>
      <w:bookmarkStart w:id="124" w:name="_Toc23846469"/>
      <w:bookmarkEnd w:id="124"/>
      <w:bookmarkStart w:id="125" w:name="_Toc21622178"/>
      <w:bookmarkEnd w:id="125"/>
      <w:bookmarkStart w:id="126" w:name="_Toc34298293"/>
      <w:bookmarkEnd w:id="126"/>
      <w:bookmarkStart w:id="127" w:name="_Toc24548594"/>
      <w:bookmarkEnd w:id="127"/>
      <w:bookmarkStart w:id="128" w:name="_Toc23257570"/>
      <w:bookmarkEnd w:id="128"/>
      <w:bookmarkStart w:id="129" w:name="_Toc23952617"/>
      <w:bookmarkEnd w:id="129"/>
      <w:bookmarkStart w:id="130" w:name="_Toc21597431"/>
      <w:bookmarkEnd w:id="130"/>
      <w:bookmarkStart w:id="131" w:name="_Toc21622176"/>
      <w:bookmarkEnd w:id="131"/>
      <w:bookmarkStart w:id="132" w:name="_Toc21622179"/>
      <w:bookmarkEnd w:id="132"/>
      <w:bookmarkStart w:id="133" w:name="_Toc23257572"/>
      <w:bookmarkEnd w:id="133"/>
      <w:bookmarkStart w:id="134" w:name="_Toc23257569"/>
      <w:bookmarkEnd w:id="134"/>
      <w:bookmarkStart w:id="135" w:name="_Toc23846470"/>
      <w:bookmarkEnd w:id="135"/>
      <w:bookmarkStart w:id="136" w:name="_Toc23952619"/>
      <w:bookmarkEnd w:id="136"/>
      <w:bookmarkStart w:id="137" w:name="_Toc21597427"/>
      <w:bookmarkEnd w:id="137"/>
      <w:bookmarkStart w:id="138" w:name="_Toc23257568"/>
      <w:bookmarkEnd w:id="138"/>
      <w:bookmarkStart w:id="139" w:name="_Toc24548593"/>
      <w:bookmarkEnd w:id="139"/>
      <w:bookmarkStart w:id="140" w:name="_Toc34298295"/>
      <w:bookmarkEnd w:id="140"/>
      <w:bookmarkStart w:id="141" w:name="_Toc21622180"/>
      <w:bookmarkEnd w:id="141"/>
      <w:bookmarkStart w:id="142" w:name="_Toc24548591"/>
      <w:bookmarkEnd w:id="142"/>
      <w:bookmarkStart w:id="143" w:name="_Toc21597428"/>
      <w:bookmarkEnd w:id="143"/>
      <w:bookmarkStart w:id="144" w:name="_Toc23846474"/>
      <w:bookmarkEnd w:id="144"/>
      <w:bookmarkStart w:id="145" w:name="_Toc23257575"/>
      <w:bookmarkEnd w:id="145"/>
      <w:bookmarkStart w:id="146" w:name="_Toc21622185"/>
      <w:bookmarkEnd w:id="146"/>
      <w:bookmarkStart w:id="147" w:name="_Toc23846475"/>
      <w:bookmarkEnd w:id="147"/>
      <w:bookmarkStart w:id="148" w:name="_Toc21597435"/>
      <w:bookmarkEnd w:id="148"/>
      <w:bookmarkStart w:id="149" w:name="_Toc21622184"/>
      <w:bookmarkEnd w:id="149"/>
      <w:bookmarkStart w:id="150" w:name="_Toc23952620"/>
      <w:bookmarkEnd w:id="150"/>
      <w:bookmarkStart w:id="151" w:name="_Toc34298300"/>
      <w:bookmarkEnd w:id="151"/>
      <w:bookmarkStart w:id="152" w:name="_Toc23257577"/>
      <w:bookmarkEnd w:id="152"/>
      <w:bookmarkStart w:id="153" w:name="_Toc23952625"/>
      <w:bookmarkEnd w:id="153"/>
      <w:bookmarkStart w:id="154" w:name="_Toc34298301"/>
      <w:bookmarkEnd w:id="154"/>
      <w:bookmarkStart w:id="155" w:name="_Toc24548600"/>
      <w:bookmarkEnd w:id="155"/>
      <w:bookmarkStart w:id="156" w:name="_Toc23257573"/>
      <w:bookmarkEnd w:id="156"/>
      <w:bookmarkStart w:id="157" w:name="_Toc23846471"/>
      <w:bookmarkEnd w:id="157"/>
      <w:bookmarkStart w:id="158" w:name="_Toc34298296"/>
      <w:bookmarkEnd w:id="158"/>
      <w:bookmarkStart w:id="159" w:name="_Toc23952621"/>
      <w:bookmarkEnd w:id="159"/>
      <w:bookmarkStart w:id="160" w:name="_Toc24548596"/>
      <w:bookmarkEnd w:id="160"/>
      <w:bookmarkStart w:id="161" w:name="_Toc24548598"/>
      <w:bookmarkEnd w:id="161"/>
      <w:bookmarkStart w:id="162" w:name="_Toc34298299"/>
      <w:bookmarkEnd w:id="162"/>
      <w:bookmarkStart w:id="163" w:name="_Toc21597432"/>
      <w:bookmarkEnd w:id="163"/>
      <w:bookmarkStart w:id="164" w:name="_Toc23952623"/>
      <w:bookmarkEnd w:id="164"/>
      <w:bookmarkStart w:id="165" w:name="_Toc34298297"/>
      <w:bookmarkEnd w:id="165"/>
      <w:bookmarkStart w:id="166" w:name="_Toc23257576"/>
      <w:bookmarkEnd w:id="166"/>
      <w:bookmarkStart w:id="167" w:name="_Toc23952624"/>
      <w:bookmarkEnd w:id="167"/>
      <w:bookmarkStart w:id="168" w:name="_Toc24548599"/>
      <w:bookmarkEnd w:id="168"/>
      <w:bookmarkStart w:id="169" w:name="_Toc21597436"/>
      <w:bookmarkEnd w:id="169"/>
      <w:bookmarkStart w:id="170" w:name="_Toc21597434"/>
      <w:bookmarkEnd w:id="170"/>
      <w:bookmarkStart w:id="171" w:name="_Toc21622181"/>
      <w:bookmarkEnd w:id="171"/>
      <w:bookmarkStart w:id="172" w:name="_Toc21622183"/>
      <w:bookmarkEnd w:id="172"/>
      <w:bookmarkStart w:id="173" w:name="_Toc23846473"/>
      <w:bookmarkEnd w:id="173"/>
      <w:bookmarkStart w:id="174" w:name="_Toc24548595"/>
      <w:bookmarkEnd w:id="174"/>
      <w:bookmarkStart w:id="175" w:name="_Toc34738553"/>
      <w:r>
        <w:t>与土地利用规划的符合性</w:t>
      </w:r>
    </w:p>
    <w:p w14:paraId="125B3A87">
      <w:pPr>
        <w:pStyle w:val="8"/>
        <w:rPr>
          <w:lang w:eastAsia="zh-CN"/>
        </w:rPr>
      </w:pPr>
      <w:r>
        <w:rPr>
          <w:lang w:eastAsia="zh-CN"/>
        </w:rPr>
        <w:t>本项目选址位于中山大学附属第三医院岭南医院内。项目用地于2019年3月1日取得广州市规划和自然资源局批复的《关于确认中山大学附属第三医院岭南医院地块（KXC-K2-2）规划条件的函》（穗规划资源业务函[2019]990号），土地用途为医疗卫生用地（A5）。因此，拟建项目符合土地利用规划要求。</w:t>
      </w:r>
    </w:p>
    <w:p w14:paraId="66747EDF">
      <w:pPr>
        <w:pStyle w:val="8"/>
        <w:rPr>
          <w:lang w:eastAsia="zh-CN"/>
        </w:rPr>
      </w:pPr>
      <w:r>
        <w:t>综上所述，本项目的建设符合相关政策和规划的要求。</w:t>
      </w:r>
    </w:p>
    <w:p w14:paraId="64B52AC7">
      <w:pPr>
        <w:pStyle w:val="4"/>
        <w:rPr>
          <w:rFonts w:eastAsia="宋体"/>
          <w:b/>
          <w:bCs w:val="0"/>
        </w:rPr>
      </w:pPr>
      <w:bookmarkStart w:id="176" w:name="_Toc71554443"/>
      <w:bookmarkStart w:id="177" w:name="_Toc209125184"/>
      <w:r>
        <w:rPr>
          <w:rFonts w:eastAsia="宋体"/>
          <w:b/>
          <w:bCs w:val="0"/>
        </w:rPr>
        <w:t>周围环境概况</w:t>
      </w:r>
      <w:bookmarkEnd w:id="175"/>
      <w:bookmarkEnd w:id="176"/>
      <w:bookmarkEnd w:id="177"/>
    </w:p>
    <w:p w14:paraId="15460268">
      <w:pPr>
        <w:pStyle w:val="8"/>
      </w:pPr>
      <w:r>
        <w:rPr>
          <w:lang w:eastAsia="zh-CN"/>
        </w:rPr>
        <w:t>本项目建设地点位于中山大学附属第三医院岭南医院内，地理位置</w:t>
      </w:r>
      <w:r>
        <w:t>见</w:t>
      </w:r>
      <w:r>
        <w:fldChar w:fldCharType="begin"/>
      </w:r>
      <w:r>
        <w:instrText xml:space="preserve"> REF _Ref178032107 \h  \* MERGEFORMAT </w:instrText>
      </w:r>
      <w:r>
        <w:fldChar w:fldCharType="separate"/>
      </w:r>
      <w:r>
        <w:t>图 1</w:t>
      </w:r>
      <w:r>
        <w:noBreakHyphen/>
      </w:r>
      <w:r>
        <w:t>1</w:t>
      </w:r>
      <w:r>
        <w:fldChar w:fldCharType="end"/>
      </w:r>
      <w:r>
        <w:rPr>
          <w:lang w:eastAsia="zh-CN"/>
        </w:rPr>
        <w:t>。项目周边关系</w:t>
      </w:r>
      <w:r>
        <w:t>见</w:t>
      </w:r>
      <w:r>
        <w:fldChar w:fldCharType="begin"/>
      </w:r>
      <w:r>
        <w:instrText xml:space="preserve"> REF _Ref178032311 \h  \* MERGEFORMAT </w:instrText>
      </w:r>
      <w:r>
        <w:fldChar w:fldCharType="separate"/>
      </w:r>
      <w:r>
        <w:t>图 1</w:t>
      </w:r>
      <w:r>
        <w:noBreakHyphen/>
      </w:r>
      <w:r>
        <w:t>2</w:t>
      </w:r>
      <w:r>
        <w:fldChar w:fldCharType="end"/>
      </w:r>
      <w:r>
        <w:rPr>
          <w:lang w:eastAsia="zh-CN"/>
        </w:rPr>
        <w:t>。</w:t>
      </w:r>
      <w:r>
        <w:t>新建质子中心位于医院南侧，质子中心北侧为已建成的内科综合大楼，东西两侧为医院内部绿化用地，南侧为院外树林。</w:t>
      </w:r>
    </w:p>
    <w:p w14:paraId="396536CC">
      <w:pPr>
        <w:pStyle w:val="8"/>
      </w:pPr>
      <w:r>
        <w:rPr>
          <w:lang w:eastAsia="zh-CN"/>
        </w:rPr>
        <w:t>医院</w:t>
      </w:r>
      <w:r>
        <w:t>总平面布局图见</w:t>
      </w:r>
      <w:r>
        <w:fldChar w:fldCharType="begin"/>
      </w:r>
      <w:r>
        <w:instrText xml:space="preserve"> REF _Ref179323893 \h  \* MERGEFORMAT </w:instrText>
      </w:r>
      <w:r>
        <w:fldChar w:fldCharType="separate"/>
      </w:r>
      <w:r>
        <w:t>图 1</w:t>
      </w:r>
      <w:r>
        <w:noBreakHyphen/>
      </w:r>
      <w:r>
        <w:t>3</w:t>
      </w:r>
      <w:r>
        <w:fldChar w:fldCharType="end"/>
      </w:r>
      <w:r>
        <w:rPr>
          <w:lang w:eastAsia="zh-CN"/>
        </w:rPr>
        <w:t>。</w:t>
      </w:r>
    </w:p>
    <w:p w14:paraId="7F564D16">
      <w:pPr>
        <w:pStyle w:val="8"/>
        <w:keepNext/>
        <w:jc w:val="center"/>
        <w:rPr>
          <w:lang w:eastAsia="zh-CN"/>
        </w:rPr>
        <w:sectPr>
          <w:headerReference r:id="rId14" w:type="first"/>
          <w:footerReference r:id="rId17" w:type="first"/>
          <w:headerReference r:id="rId12" w:type="default"/>
          <w:footerReference r:id="rId15" w:type="default"/>
          <w:headerReference r:id="rId13" w:type="even"/>
          <w:footerReference r:id="rId16" w:type="even"/>
          <w:pgSz w:w="11906" w:h="16838"/>
          <w:pgMar w:top="1701" w:right="1701" w:bottom="1701" w:left="1701" w:header="851" w:footer="992" w:gutter="0"/>
          <w:pgNumType w:start="1"/>
          <w:cols w:space="720" w:num="1"/>
          <w:docGrid w:type="lines" w:linePitch="312" w:charSpace="0"/>
        </w:sectPr>
      </w:pPr>
    </w:p>
    <w:p w14:paraId="2C951A4E">
      <w:pPr>
        <w:pStyle w:val="8"/>
        <w:keepNext/>
        <w:ind w:firstLine="0" w:firstLineChars="0"/>
        <w:jc w:val="center"/>
      </w:pPr>
      <w:r>
        <w:drawing>
          <wp:inline distT="0" distB="0" distL="0" distR="0">
            <wp:extent cx="8462010" cy="4182110"/>
            <wp:effectExtent l="0" t="0" r="0" b="8890"/>
            <wp:docPr id="19438494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49442" name="图片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462010" cy="4182110"/>
                    </a:xfrm>
                    <a:prstGeom prst="rect">
                      <a:avLst/>
                    </a:prstGeom>
                    <a:noFill/>
                  </pic:spPr>
                </pic:pic>
              </a:graphicData>
            </a:graphic>
          </wp:inline>
        </w:drawing>
      </w:r>
    </w:p>
    <w:p w14:paraId="6F1EDC1A">
      <w:pPr>
        <w:pStyle w:val="15"/>
      </w:pPr>
      <w:bookmarkStart w:id="178" w:name="_Ref178032107"/>
      <w:bookmarkStart w:id="179" w:name="_Toc178174116"/>
      <w:r>
        <w:t xml:space="preserve">图 </w:t>
      </w:r>
      <w:r>
        <w:fldChar w:fldCharType="begin"/>
      </w:r>
      <w:r>
        <w:instrText xml:space="preserve"> STYLEREF 1 \s </w:instrText>
      </w:r>
      <w:r>
        <w:fldChar w:fldCharType="separate"/>
      </w:r>
      <w:r>
        <w:t>1</w:t>
      </w:r>
      <w:r>
        <w:fldChar w:fldCharType="end"/>
      </w:r>
      <w:r>
        <w:noBreakHyphen/>
      </w:r>
      <w:r>
        <w:fldChar w:fldCharType="begin"/>
      </w:r>
      <w:r>
        <w:instrText xml:space="preserve"> SEQ 图 \* ARABIC \s 1 </w:instrText>
      </w:r>
      <w:r>
        <w:fldChar w:fldCharType="separate"/>
      </w:r>
      <w:r>
        <w:t>1</w:t>
      </w:r>
      <w:r>
        <w:fldChar w:fldCharType="end"/>
      </w:r>
      <w:bookmarkEnd w:id="178"/>
      <w:r>
        <w:t>本项目地理位置图</w:t>
      </w:r>
      <w:bookmarkEnd w:id="179"/>
    </w:p>
    <w:p w14:paraId="1E2FBC27">
      <w:pPr>
        <w:keepNext/>
        <w:jc w:val="center"/>
      </w:pPr>
      <w:r>
        <w:drawing>
          <wp:inline distT="0" distB="0" distL="0" distR="0">
            <wp:extent cx="5596890" cy="4913630"/>
            <wp:effectExtent l="0" t="0" r="3810" b="1270"/>
            <wp:docPr id="8219708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970808" name="图片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596890" cy="4913630"/>
                    </a:xfrm>
                    <a:prstGeom prst="rect">
                      <a:avLst/>
                    </a:prstGeom>
                    <a:noFill/>
                  </pic:spPr>
                </pic:pic>
              </a:graphicData>
            </a:graphic>
          </wp:inline>
        </w:drawing>
      </w:r>
    </w:p>
    <w:p w14:paraId="2CD84FB0">
      <w:pPr>
        <w:pStyle w:val="15"/>
        <w:sectPr>
          <w:pgSz w:w="16838" w:h="11906" w:orient="landscape"/>
          <w:pgMar w:top="1701" w:right="1701" w:bottom="1701" w:left="1701" w:header="851" w:footer="992" w:gutter="0"/>
          <w:cols w:space="720" w:num="1"/>
          <w:docGrid w:type="lines" w:linePitch="312" w:charSpace="0"/>
        </w:sectPr>
      </w:pPr>
      <w:bookmarkStart w:id="180" w:name="_Ref178032311"/>
      <w:bookmarkStart w:id="181" w:name="_Toc178174117"/>
      <w:r>
        <w:t xml:space="preserve">图 </w:t>
      </w:r>
      <w:r>
        <w:fldChar w:fldCharType="begin"/>
      </w:r>
      <w:r>
        <w:instrText xml:space="preserve"> STYLEREF 1 \s </w:instrText>
      </w:r>
      <w:r>
        <w:fldChar w:fldCharType="separate"/>
      </w:r>
      <w:r>
        <w:t>1</w:t>
      </w:r>
      <w:r>
        <w:fldChar w:fldCharType="end"/>
      </w:r>
      <w:r>
        <w:noBreakHyphen/>
      </w:r>
      <w:r>
        <w:fldChar w:fldCharType="begin"/>
      </w:r>
      <w:r>
        <w:instrText xml:space="preserve"> SEQ 图 \* ARABIC \s 1 </w:instrText>
      </w:r>
      <w:r>
        <w:fldChar w:fldCharType="separate"/>
      </w:r>
      <w:r>
        <w:t>2</w:t>
      </w:r>
      <w:r>
        <w:fldChar w:fldCharType="end"/>
      </w:r>
      <w:bookmarkEnd w:id="180"/>
      <w:r>
        <w:t>项目周边关系图</w:t>
      </w:r>
      <w:bookmarkEnd w:id="181"/>
    </w:p>
    <w:p w14:paraId="021D1B81">
      <w:pPr>
        <w:keepNext/>
        <w:jc w:val="center"/>
      </w:pPr>
      <w:bookmarkStart w:id="182" w:name="_Toc34738554"/>
      <w:bookmarkStart w:id="183" w:name="_Toc71554444"/>
      <w:r>
        <w:drawing>
          <wp:inline distT="0" distB="0" distL="0" distR="0">
            <wp:extent cx="8803640" cy="5401310"/>
            <wp:effectExtent l="0" t="0" r="0" b="8890"/>
            <wp:docPr id="15426124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12482" name="图片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8803640" cy="5401310"/>
                    </a:xfrm>
                    <a:prstGeom prst="rect">
                      <a:avLst/>
                    </a:prstGeom>
                    <a:noFill/>
                  </pic:spPr>
                </pic:pic>
              </a:graphicData>
            </a:graphic>
          </wp:inline>
        </w:drawing>
      </w:r>
    </w:p>
    <w:p w14:paraId="7D2F542E">
      <w:pPr>
        <w:pStyle w:val="15"/>
        <w:rPr>
          <w:highlight w:val="yellow"/>
        </w:rPr>
      </w:pPr>
      <w:bookmarkStart w:id="184" w:name="_Ref179323893"/>
      <w:r>
        <w:t xml:space="preserve">图 </w:t>
      </w:r>
      <w:r>
        <w:fldChar w:fldCharType="begin"/>
      </w:r>
      <w:r>
        <w:instrText xml:space="preserve"> STYLEREF 1 \s </w:instrText>
      </w:r>
      <w:r>
        <w:fldChar w:fldCharType="separate"/>
      </w:r>
      <w:r>
        <w:t>1</w:t>
      </w:r>
      <w:r>
        <w:fldChar w:fldCharType="end"/>
      </w:r>
      <w:r>
        <w:noBreakHyphen/>
      </w:r>
      <w:r>
        <w:fldChar w:fldCharType="begin"/>
      </w:r>
      <w:r>
        <w:instrText xml:space="preserve"> SEQ 图 \* ARABIC \s 1 </w:instrText>
      </w:r>
      <w:r>
        <w:fldChar w:fldCharType="separate"/>
      </w:r>
      <w:r>
        <w:t>3</w:t>
      </w:r>
      <w:r>
        <w:fldChar w:fldCharType="end"/>
      </w:r>
      <w:bookmarkEnd w:id="184"/>
      <w:r>
        <w:t>医院总平面布置图</w:t>
      </w:r>
    </w:p>
    <w:p w14:paraId="29D757DC">
      <w:pPr>
        <w:rPr>
          <w:lang w:val="zh-CN" w:eastAsia="zh-CN"/>
        </w:rPr>
        <w:sectPr>
          <w:pgSz w:w="16838" w:h="11906" w:orient="landscape"/>
          <w:pgMar w:top="720" w:right="720" w:bottom="720" w:left="720" w:header="851" w:footer="992" w:gutter="0"/>
          <w:cols w:space="720" w:num="1"/>
          <w:docGrid w:type="lines" w:linePitch="312" w:charSpace="0"/>
        </w:sectPr>
      </w:pPr>
    </w:p>
    <w:p w14:paraId="45526D96">
      <w:pPr>
        <w:pStyle w:val="4"/>
        <w:rPr>
          <w:rFonts w:eastAsia="宋体"/>
          <w:b/>
          <w:bCs w:val="0"/>
          <w:lang w:eastAsia="zh-CN"/>
        </w:rPr>
      </w:pPr>
      <w:bookmarkStart w:id="185" w:name="_Toc209125185"/>
      <w:r>
        <w:rPr>
          <w:rFonts w:eastAsia="宋体"/>
          <w:b/>
          <w:bCs w:val="0"/>
        </w:rPr>
        <w:t>核技术利用</w:t>
      </w:r>
      <w:r>
        <w:rPr>
          <w:rFonts w:eastAsia="宋体"/>
          <w:b/>
          <w:bCs w:val="0"/>
          <w:lang w:eastAsia="zh-CN"/>
        </w:rPr>
        <w:t>及辐射安全管理</w:t>
      </w:r>
      <w:r>
        <w:rPr>
          <w:rFonts w:eastAsia="宋体"/>
          <w:b/>
          <w:bCs w:val="0"/>
        </w:rPr>
        <w:t>现状</w:t>
      </w:r>
      <w:bookmarkEnd w:id="182"/>
      <w:bookmarkEnd w:id="183"/>
      <w:bookmarkEnd w:id="185"/>
    </w:p>
    <w:p w14:paraId="71F3C91C">
      <w:pPr>
        <w:pStyle w:val="5"/>
        <w:tabs>
          <w:tab w:val="clear" w:pos="864"/>
        </w:tabs>
        <w:ind w:left="862" w:hanging="862"/>
      </w:pPr>
      <w:r>
        <w:rPr>
          <w:lang w:eastAsia="zh-CN"/>
        </w:rPr>
        <w:t>核技术利用现状</w:t>
      </w:r>
    </w:p>
    <w:p w14:paraId="51021C14">
      <w:pPr>
        <w:pStyle w:val="41"/>
        <w:adjustRightInd w:val="0"/>
        <w:snapToGrid w:val="0"/>
        <w:spacing w:line="360" w:lineRule="auto"/>
        <w:ind w:firstLine="480" w:firstLineChars="200"/>
        <w:jc w:val="both"/>
        <w:rPr>
          <w:rStyle w:val="125"/>
          <w:rFonts w:hint="default"/>
        </w:rPr>
        <w:sectPr>
          <w:pgSz w:w="11906" w:h="16838"/>
          <w:pgMar w:top="1440" w:right="1800" w:bottom="1440" w:left="1800" w:header="851" w:footer="283" w:gutter="0"/>
          <w:cols w:space="720" w:num="1"/>
          <w:docGrid w:type="lines" w:linePitch="312" w:charSpace="0"/>
        </w:sectPr>
      </w:pPr>
      <w:bookmarkStart w:id="186" w:name="_Toc426980368"/>
      <w:bookmarkStart w:id="187" w:name="_Toc71554445"/>
      <w:bookmarkStart w:id="188" w:name="_Toc34738555"/>
      <w:r>
        <w:rPr>
          <w:rStyle w:val="125"/>
          <w:rFonts w:hint="default"/>
          <w:lang w:eastAsia="zh-CN"/>
        </w:rPr>
        <w:t>建设单位中山大学附属第三医院岭南医院现持有辐射安全许可证（许可证号：粤环辐证[01314]），有效期至2029年3月5日。许可的种类和范围为：使用Ⅲ类、Ⅴ类放射源，使用Ⅱ类、Ⅲ类射线装置；使用非密封放射性物质，乙级非密封放射性物质工作场所。已获许可的涉源部门、放射源、射线装置和非密封放射性物质的使用情况、环评批复情况以及验收情况列</w:t>
      </w:r>
      <w:r>
        <w:rPr>
          <w:rStyle w:val="125"/>
          <w:rFonts w:hint="default"/>
        </w:rPr>
        <w:t>于</w:t>
      </w:r>
      <w:r>
        <w:rPr>
          <w:rStyle w:val="125"/>
          <w:rFonts w:hint="default"/>
        </w:rPr>
        <w:fldChar w:fldCharType="begin"/>
      </w:r>
      <w:r>
        <w:rPr>
          <w:rStyle w:val="125"/>
          <w:rFonts w:hint="default"/>
        </w:rPr>
        <w:instrText xml:space="preserve"> REF _Ref187246861 \h  \* MERGEFORMAT </w:instrText>
      </w:r>
      <w:r>
        <w:rPr>
          <w:rStyle w:val="125"/>
          <w:rFonts w:hint="default"/>
        </w:rPr>
        <w:fldChar w:fldCharType="separate"/>
      </w:r>
      <w:r>
        <w:rPr>
          <w:rFonts w:ascii="Times New Roman" w:hAnsi="Times New Roman"/>
          <w:color w:val="000000"/>
        </w:rPr>
        <w:t>表 1</w:t>
      </w:r>
      <w:r>
        <w:rPr>
          <w:rFonts w:ascii="Times New Roman" w:hAnsi="Times New Roman"/>
          <w:color w:val="000000"/>
        </w:rPr>
        <w:noBreakHyphen/>
      </w:r>
      <w:r>
        <w:rPr>
          <w:rFonts w:ascii="Times New Roman" w:hAnsi="Times New Roman"/>
          <w:color w:val="000000"/>
        </w:rPr>
        <w:t>1</w:t>
      </w:r>
      <w:r>
        <w:rPr>
          <w:rStyle w:val="125"/>
          <w:rFonts w:hint="default"/>
        </w:rPr>
        <w:fldChar w:fldCharType="end"/>
      </w:r>
      <w:r>
        <w:rPr>
          <w:rStyle w:val="125"/>
          <w:rFonts w:hint="default"/>
        </w:rPr>
        <w:t>~</w:t>
      </w:r>
      <w:r>
        <w:rPr>
          <w:rStyle w:val="125"/>
          <w:rFonts w:hint="default"/>
        </w:rPr>
        <w:fldChar w:fldCharType="begin"/>
      </w:r>
      <w:r>
        <w:rPr>
          <w:rStyle w:val="125"/>
          <w:rFonts w:hint="default"/>
        </w:rPr>
        <w:instrText xml:space="preserve"> REF _Ref7169495 \h  \* MERGEFORMAT </w:instrText>
      </w:r>
      <w:r>
        <w:rPr>
          <w:rStyle w:val="125"/>
          <w:rFonts w:hint="default"/>
        </w:rPr>
        <w:fldChar w:fldCharType="separate"/>
      </w:r>
      <w:r>
        <w:rPr>
          <w:rFonts w:ascii="Times New Roman" w:hAnsi="Times New Roman"/>
          <w:color w:val="000000"/>
        </w:rPr>
        <w:t>表 1</w:t>
      </w:r>
      <w:r>
        <w:rPr>
          <w:rFonts w:ascii="Times New Roman" w:hAnsi="Times New Roman"/>
          <w:color w:val="000000"/>
        </w:rPr>
        <w:noBreakHyphen/>
      </w:r>
      <w:r>
        <w:rPr>
          <w:rFonts w:ascii="Times New Roman" w:hAnsi="Times New Roman"/>
          <w:color w:val="000000"/>
        </w:rPr>
        <w:t>3</w:t>
      </w:r>
      <w:r>
        <w:rPr>
          <w:rStyle w:val="125"/>
          <w:rFonts w:hint="default"/>
        </w:rPr>
        <w:fldChar w:fldCharType="end"/>
      </w:r>
      <w:r>
        <w:rPr>
          <w:rStyle w:val="125"/>
          <w:rFonts w:hint="default"/>
        </w:rPr>
        <w:t>。</w:t>
      </w:r>
      <w:bookmarkStart w:id="189" w:name="_Ref7169493"/>
      <w:bookmarkStart w:id="190" w:name="_Toc34738359"/>
      <w:bookmarkStart w:id="191" w:name="_Ref22893308"/>
    </w:p>
    <w:p w14:paraId="5730E1B5">
      <w:pPr>
        <w:pStyle w:val="15"/>
        <w:keepNext/>
        <w:rPr>
          <w:color w:val="000000"/>
          <w:szCs w:val="24"/>
          <w:lang w:val="zh-CN"/>
        </w:rPr>
      </w:pPr>
      <w:bookmarkStart w:id="192" w:name="_Ref187246861"/>
      <w:bookmarkStart w:id="193" w:name="_Toc74750870"/>
      <w:bookmarkStart w:id="194" w:name="_Toc94259308"/>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1</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1</w:t>
      </w:r>
      <w:r>
        <w:rPr>
          <w:color w:val="000000"/>
        </w:rPr>
        <w:fldChar w:fldCharType="end"/>
      </w:r>
      <w:bookmarkEnd w:id="189"/>
      <w:bookmarkEnd w:id="192"/>
      <w:r>
        <w:rPr>
          <w:color w:val="000000"/>
        </w:rPr>
        <w:t xml:space="preserve"> 医院</w:t>
      </w:r>
      <w:r>
        <w:rPr>
          <w:rStyle w:val="125"/>
        </w:rPr>
        <w:t>已获许可使用的放射源明细</w:t>
      </w:r>
      <w:bookmarkEnd w:id="190"/>
      <w:bookmarkEnd w:id="191"/>
      <w:bookmarkEnd w:id="193"/>
      <w:bookmarkEnd w:id="194"/>
    </w:p>
    <w:tbl>
      <w:tblPr>
        <w:tblStyle w:val="45"/>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24"/>
        <w:gridCol w:w="1882"/>
        <w:gridCol w:w="741"/>
        <w:gridCol w:w="525"/>
        <w:gridCol w:w="720"/>
        <w:gridCol w:w="2260"/>
        <w:gridCol w:w="1605"/>
        <w:gridCol w:w="1383"/>
        <w:gridCol w:w="1196"/>
        <w:gridCol w:w="1196"/>
        <w:gridCol w:w="842"/>
        <w:gridCol w:w="1300"/>
      </w:tblGrid>
      <w:tr w14:paraId="0E6DFF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0" w:type="auto"/>
            <w:vAlign w:val="center"/>
          </w:tcPr>
          <w:p w14:paraId="3565115B">
            <w:pPr>
              <w:adjustRightInd w:val="0"/>
              <w:snapToGrid w:val="0"/>
              <w:jc w:val="center"/>
              <w:rPr>
                <w:b/>
                <w:szCs w:val="21"/>
              </w:rPr>
            </w:pPr>
            <w:r>
              <w:rPr>
                <w:b/>
                <w:szCs w:val="21"/>
              </w:rPr>
              <w:t>序号</w:t>
            </w:r>
          </w:p>
        </w:tc>
        <w:tc>
          <w:tcPr>
            <w:tcW w:w="0" w:type="auto"/>
            <w:vAlign w:val="center"/>
          </w:tcPr>
          <w:p w14:paraId="0157967F">
            <w:pPr>
              <w:adjustRightInd w:val="0"/>
              <w:snapToGrid w:val="0"/>
              <w:jc w:val="center"/>
              <w:rPr>
                <w:b/>
                <w:szCs w:val="21"/>
              </w:rPr>
            </w:pPr>
            <w:r>
              <w:rPr>
                <w:b/>
                <w:szCs w:val="21"/>
              </w:rPr>
              <w:t>辐射活动场所名称</w:t>
            </w:r>
          </w:p>
        </w:tc>
        <w:tc>
          <w:tcPr>
            <w:tcW w:w="0" w:type="auto"/>
            <w:vAlign w:val="center"/>
          </w:tcPr>
          <w:p w14:paraId="18352FBA">
            <w:pPr>
              <w:adjustRightInd w:val="0"/>
              <w:snapToGrid w:val="0"/>
              <w:jc w:val="center"/>
              <w:rPr>
                <w:b/>
                <w:szCs w:val="21"/>
              </w:rPr>
            </w:pPr>
            <w:r>
              <w:rPr>
                <w:b/>
                <w:szCs w:val="21"/>
              </w:rPr>
              <w:t>核素</w:t>
            </w:r>
          </w:p>
        </w:tc>
        <w:tc>
          <w:tcPr>
            <w:tcW w:w="0" w:type="auto"/>
            <w:vAlign w:val="center"/>
          </w:tcPr>
          <w:p w14:paraId="4B749EC7">
            <w:pPr>
              <w:adjustRightInd w:val="0"/>
              <w:snapToGrid w:val="0"/>
              <w:jc w:val="center"/>
              <w:rPr>
                <w:b/>
                <w:szCs w:val="21"/>
              </w:rPr>
            </w:pPr>
            <w:r>
              <w:rPr>
                <w:b/>
                <w:szCs w:val="21"/>
              </w:rPr>
              <w:t>类别</w:t>
            </w:r>
          </w:p>
        </w:tc>
        <w:tc>
          <w:tcPr>
            <w:tcW w:w="0" w:type="auto"/>
            <w:vAlign w:val="center"/>
          </w:tcPr>
          <w:p w14:paraId="53FC2414">
            <w:pPr>
              <w:adjustRightInd w:val="0"/>
              <w:snapToGrid w:val="0"/>
              <w:jc w:val="center"/>
              <w:rPr>
                <w:b/>
                <w:szCs w:val="21"/>
              </w:rPr>
            </w:pPr>
            <w:r>
              <w:rPr>
                <w:b/>
                <w:szCs w:val="21"/>
              </w:rPr>
              <w:t>活动种类</w:t>
            </w:r>
          </w:p>
        </w:tc>
        <w:tc>
          <w:tcPr>
            <w:tcW w:w="0" w:type="auto"/>
            <w:vAlign w:val="center"/>
          </w:tcPr>
          <w:p w14:paraId="0B00E517">
            <w:pPr>
              <w:adjustRightInd w:val="0"/>
              <w:snapToGrid w:val="0"/>
              <w:jc w:val="center"/>
              <w:rPr>
                <w:b/>
                <w:szCs w:val="21"/>
              </w:rPr>
            </w:pPr>
            <w:r>
              <w:rPr>
                <w:b/>
                <w:szCs w:val="21"/>
              </w:rPr>
              <w:t>总活度（贝可）/活度（贝可）×枚数</w:t>
            </w:r>
          </w:p>
        </w:tc>
        <w:tc>
          <w:tcPr>
            <w:tcW w:w="0" w:type="auto"/>
            <w:vAlign w:val="center"/>
          </w:tcPr>
          <w:p w14:paraId="3C616452">
            <w:pPr>
              <w:adjustRightInd w:val="0"/>
              <w:snapToGrid w:val="0"/>
              <w:jc w:val="center"/>
              <w:rPr>
                <w:b/>
                <w:szCs w:val="21"/>
              </w:rPr>
            </w:pPr>
            <w:r>
              <w:rPr>
                <w:b/>
                <w:szCs w:val="21"/>
              </w:rPr>
              <w:t>编码</w:t>
            </w:r>
          </w:p>
        </w:tc>
        <w:tc>
          <w:tcPr>
            <w:tcW w:w="0" w:type="auto"/>
            <w:vAlign w:val="center"/>
          </w:tcPr>
          <w:p w14:paraId="7F5263C5">
            <w:pPr>
              <w:adjustRightInd w:val="0"/>
              <w:snapToGrid w:val="0"/>
              <w:jc w:val="center"/>
              <w:rPr>
                <w:b/>
                <w:szCs w:val="21"/>
              </w:rPr>
            </w:pPr>
            <w:r>
              <w:rPr>
                <w:b/>
                <w:szCs w:val="21"/>
              </w:rPr>
              <w:t>出厂活度（贝可）</w:t>
            </w:r>
          </w:p>
        </w:tc>
        <w:tc>
          <w:tcPr>
            <w:tcW w:w="0" w:type="auto"/>
            <w:vAlign w:val="center"/>
          </w:tcPr>
          <w:p w14:paraId="16CA6F6F">
            <w:pPr>
              <w:adjustRightInd w:val="0"/>
              <w:snapToGrid w:val="0"/>
              <w:jc w:val="center"/>
              <w:rPr>
                <w:b/>
                <w:szCs w:val="21"/>
              </w:rPr>
            </w:pPr>
            <w:r>
              <w:rPr>
                <w:b/>
                <w:szCs w:val="21"/>
              </w:rPr>
              <w:t>出厂日期</w:t>
            </w:r>
          </w:p>
        </w:tc>
        <w:tc>
          <w:tcPr>
            <w:tcW w:w="0" w:type="auto"/>
            <w:vAlign w:val="center"/>
          </w:tcPr>
          <w:p w14:paraId="6F21BA55">
            <w:pPr>
              <w:adjustRightInd w:val="0"/>
              <w:snapToGrid w:val="0"/>
              <w:jc w:val="center"/>
              <w:rPr>
                <w:b/>
                <w:szCs w:val="21"/>
              </w:rPr>
            </w:pPr>
            <w:r>
              <w:rPr>
                <w:b/>
                <w:szCs w:val="21"/>
              </w:rPr>
              <w:t>标号</w:t>
            </w:r>
          </w:p>
        </w:tc>
        <w:tc>
          <w:tcPr>
            <w:tcW w:w="0" w:type="auto"/>
            <w:vAlign w:val="center"/>
          </w:tcPr>
          <w:p w14:paraId="7BF633E1">
            <w:pPr>
              <w:adjustRightInd w:val="0"/>
              <w:snapToGrid w:val="0"/>
              <w:jc w:val="center"/>
              <w:rPr>
                <w:b/>
                <w:szCs w:val="21"/>
              </w:rPr>
            </w:pPr>
            <w:r>
              <w:rPr>
                <w:b/>
                <w:szCs w:val="21"/>
              </w:rPr>
              <w:t>用途</w:t>
            </w:r>
          </w:p>
        </w:tc>
        <w:tc>
          <w:tcPr>
            <w:tcW w:w="0" w:type="auto"/>
            <w:vAlign w:val="center"/>
          </w:tcPr>
          <w:p w14:paraId="2F31393F">
            <w:pPr>
              <w:adjustRightInd w:val="0"/>
              <w:snapToGrid w:val="0"/>
              <w:jc w:val="center"/>
              <w:rPr>
                <w:b/>
                <w:szCs w:val="21"/>
              </w:rPr>
            </w:pPr>
            <w:r>
              <w:rPr>
                <w:b/>
                <w:szCs w:val="21"/>
              </w:rPr>
              <w:t>来源</w:t>
            </w:r>
          </w:p>
        </w:tc>
      </w:tr>
      <w:tr w14:paraId="186456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0" w:type="auto"/>
            <w:vMerge w:val="restart"/>
            <w:vAlign w:val="center"/>
          </w:tcPr>
          <w:p w14:paraId="2CE15547">
            <w:pPr>
              <w:adjustRightInd w:val="0"/>
              <w:snapToGrid w:val="0"/>
              <w:jc w:val="center"/>
              <w:rPr>
                <w:szCs w:val="21"/>
              </w:rPr>
            </w:pPr>
            <w:r>
              <w:rPr>
                <w:szCs w:val="21"/>
              </w:rPr>
              <w:t>1</w:t>
            </w:r>
          </w:p>
        </w:tc>
        <w:tc>
          <w:tcPr>
            <w:tcW w:w="0" w:type="auto"/>
            <w:vMerge w:val="restart"/>
            <w:vAlign w:val="center"/>
          </w:tcPr>
          <w:p w14:paraId="5B9158C9">
            <w:pPr>
              <w:adjustRightInd w:val="0"/>
              <w:snapToGrid w:val="0"/>
              <w:jc w:val="center"/>
              <w:rPr>
                <w:szCs w:val="21"/>
              </w:rPr>
            </w:pPr>
            <w:r>
              <w:rPr>
                <w:szCs w:val="21"/>
              </w:rPr>
              <w:t>本院区3号楼负二楼肿瘤放射治疗科</w:t>
            </w:r>
          </w:p>
        </w:tc>
        <w:tc>
          <w:tcPr>
            <w:tcW w:w="0" w:type="auto"/>
            <w:vMerge w:val="restart"/>
            <w:vAlign w:val="center"/>
          </w:tcPr>
          <w:p w14:paraId="7208089C">
            <w:pPr>
              <w:adjustRightInd w:val="0"/>
              <w:snapToGrid w:val="0"/>
              <w:jc w:val="center"/>
              <w:rPr>
                <w:szCs w:val="21"/>
              </w:rPr>
            </w:pPr>
            <w:r>
              <w:rPr>
                <w:szCs w:val="21"/>
              </w:rPr>
              <w:t>Ir-192</w:t>
            </w:r>
          </w:p>
        </w:tc>
        <w:tc>
          <w:tcPr>
            <w:tcW w:w="0" w:type="auto"/>
            <w:vMerge w:val="restart"/>
            <w:vAlign w:val="center"/>
          </w:tcPr>
          <w:p w14:paraId="393F3099">
            <w:pPr>
              <w:adjustRightInd w:val="0"/>
              <w:snapToGrid w:val="0"/>
              <w:jc w:val="center"/>
              <w:rPr>
                <w:szCs w:val="21"/>
              </w:rPr>
            </w:pPr>
            <w:r>
              <w:rPr>
                <w:szCs w:val="21"/>
              </w:rPr>
              <w:t>Ⅲ类</w:t>
            </w:r>
          </w:p>
        </w:tc>
        <w:tc>
          <w:tcPr>
            <w:tcW w:w="0" w:type="auto"/>
            <w:vMerge w:val="restart"/>
            <w:vAlign w:val="center"/>
          </w:tcPr>
          <w:p w14:paraId="48383506">
            <w:pPr>
              <w:adjustRightInd w:val="0"/>
              <w:snapToGrid w:val="0"/>
              <w:jc w:val="center"/>
              <w:rPr>
                <w:szCs w:val="21"/>
              </w:rPr>
            </w:pPr>
            <w:r>
              <w:rPr>
                <w:szCs w:val="21"/>
              </w:rPr>
              <w:t>使用</w:t>
            </w:r>
          </w:p>
        </w:tc>
        <w:tc>
          <w:tcPr>
            <w:tcW w:w="0" w:type="auto"/>
            <w:vMerge w:val="restart"/>
            <w:vAlign w:val="center"/>
          </w:tcPr>
          <w:p w14:paraId="2F57000C">
            <w:pPr>
              <w:adjustRightInd w:val="0"/>
              <w:snapToGrid w:val="0"/>
              <w:jc w:val="center"/>
              <w:rPr>
                <w:szCs w:val="21"/>
              </w:rPr>
            </w:pPr>
            <w:r>
              <w:rPr>
                <w:szCs w:val="21"/>
              </w:rPr>
              <w:t>3.7E+11*1</w:t>
            </w:r>
          </w:p>
        </w:tc>
        <w:tc>
          <w:tcPr>
            <w:tcW w:w="0" w:type="auto"/>
            <w:vAlign w:val="center"/>
          </w:tcPr>
          <w:p w14:paraId="37A9902C">
            <w:pPr>
              <w:adjustRightInd w:val="0"/>
              <w:snapToGrid w:val="0"/>
              <w:jc w:val="center"/>
              <w:rPr>
                <w:szCs w:val="21"/>
              </w:rPr>
            </w:pPr>
            <w:r>
              <w:rPr>
                <w:szCs w:val="21"/>
              </w:rPr>
              <w:t>NL24IR004073</w:t>
            </w:r>
          </w:p>
        </w:tc>
        <w:tc>
          <w:tcPr>
            <w:tcW w:w="0" w:type="auto"/>
            <w:vAlign w:val="center"/>
          </w:tcPr>
          <w:p w14:paraId="7F0CAA38">
            <w:pPr>
              <w:adjustRightInd w:val="0"/>
              <w:snapToGrid w:val="0"/>
              <w:jc w:val="center"/>
              <w:rPr>
                <w:szCs w:val="21"/>
              </w:rPr>
            </w:pPr>
            <w:r>
              <w:rPr>
                <w:szCs w:val="21"/>
              </w:rPr>
              <w:t>3.7E+11</w:t>
            </w:r>
          </w:p>
        </w:tc>
        <w:tc>
          <w:tcPr>
            <w:tcW w:w="0" w:type="auto"/>
            <w:vAlign w:val="center"/>
          </w:tcPr>
          <w:p w14:paraId="23EB1610">
            <w:pPr>
              <w:adjustRightInd w:val="0"/>
              <w:snapToGrid w:val="0"/>
              <w:jc w:val="center"/>
              <w:rPr>
                <w:szCs w:val="21"/>
              </w:rPr>
            </w:pPr>
            <w:r>
              <w:rPr>
                <w:szCs w:val="21"/>
              </w:rPr>
              <w:t>2024-04-11</w:t>
            </w:r>
          </w:p>
        </w:tc>
        <w:tc>
          <w:tcPr>
            <w:tcW w:w="0" w:type="auto"/>
            <w:vAlign w:val="center"/>
          </w:tcPr>
          <w:p w14:paraId="0CBA3710">
            <w:pPr>
              <w:adjustRightInd w:val="0"/>
              <w:snapToGrid w:val="0"/>
              <w:jc w:val="center"/>
              <w:rPr>
                <w:szCs w:val="21"/>
              </w:rPr>
            </w:pPr>
            <w:r>
              <w:rPr>
                <w:szCs w:val="21"/>
              </w:rPr>
              <w:t>D35F3327</w:t>
            </w:r>
          </w:p>
        </w:tc>
        <w:tc>
          <w:tcPr>
            <w:tcW w:w="0" w:type="auto"/>
            <w:vAlign w:val="center"/>
          </w:tcPr>
          <w:p w14:paraId="5EDF0CB8">
            <w:pPr>
              <w:adjustRightInd w:val="0"/>
              <w:snapToGrid w:val="0"/>
              <w:jc w:val="center"/>
              <w:rPr>
                <w:bCs/>
                <w:szCs w:val="21"/>
              </w:rPr>
            </w:pPr>
            <w:r>
              <w:rPr>
                <w:bCs/>
                <w:szCs w:val="21"/>
              </w:rPr>
              <w:t>后装治疗机</w:t>
            </w:r>
          </w:p>
        </w:tc>
        <w:tc>
          <w:tcPr>
            <w:tcW w:w="0" w:type="auto"/>
            <w:vAlign w:val="center"/>
          </w:tcPr>
          <w:p w14:paraId="2DF7D99E">
            <w:pPr>
              <w:adjustRightInd w:val="0"/>
              <w:snapToGrid w:val="0"/>
              <w:jc w:val="center"/>
              <w:rPr>
                <w:bCs/>
                <w:szCs w:val="21"/>
              </w:rPr>
            </w:pPr>
            <w:r>
              <w:rPr>
                <w:bCs/>
                <w:szCs w:val="21"/>
              </w:rPr>
              <w:t>荷兰</w:t>
            </w:r>
          </w:p>
        </w:tc>
      </w:tr>
      <w:tr w14:paraId="2C225B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5C44CC91">
            <w:pPr>
              <w:adjustRightInd w:val="0"/>
              <w:snapToGrid w:val="0"/>
              <w:jc w:val="center"/>
              <w:rPr>
                <w:bCs/>
                <w:szCs w:val="21"/>
              </w:rPr>
            </w:pPr>
          </w:p>
        </w:tc>
        <w:tc>
          <w:tcPr>
            <w:tcW w:w="0" w:type="auto"/>
            <w:vMerge w:val="continue"/>
            <w:vAlign w:val="center"/>
          </w:tcPr>
          <w:p w14:paraId="5668ACD8">
            <w:pPr>
              <w:adjustRightInd w:val="0"/>
              <w:snapToGrid w:val="0"/>
              <w:jc w:val="center"/>
              <w:rPr>
                <w:szCs w:val="21"/>
              </w:rPr>
            </w:pPr>
          </w:p>
        </w:tc>
        <w:tc>
          <w:tcPr>
            <w:tcW w:w="0" w:type="auto"/>
            <w:vMerge w:val="continue"/>
            <w:vAlign w:val="center"/>
          </w:tcPr>
          <w:p w14:paraId="08BBAFF7">
            <w:pPr>
              <w:adjustRightInd w:val="0"/>
              <w:snapToGrid w:val="0"/>
              <w:jc w:val="center"/>
              <w:rPr>
                <w:szCs w:val="21"/>
              </w:rPr>
            </w:pPr>
          </w:p>
        </w:tc>
        <w:tc>
          <w:tcPr>
            <w:tcW w:w="0" w:type="auto"/>
            <w:vMerge w:val="continue"/>
            <w:vAlign w:val="center"/>
          </w:tcPr>
          <w:p w14:paraId="235A53E0">
            <w:pPr>
              <w:adjustRightInd w:val="0"/>
              <w:snapToGrid w:val="0"/>
              <w:jc w:val="center"/>
              <w:rPr>
                <w:szCs w:val="21"/>
              </w:rPr>
            </w:pPr>
          </w:p>
        </w:tc>
        <w:tc>
          <w:tcPr>
            <w:tcW w:w="0" w:type="auto"/>
            <w:vMerge w:val="continue"/>
            <w:vAlign w:val="center"/>
          </w:tcPr>
          <w:p w14:paraId="5B50743E">
            <w:pPr>
              <w:adjustRightInd w:val="0"/>
              <w:snapToGrid w:val="0"/>
              <w:jc w:val="center"/>
              <w:rPr>
                <w:szCs w:val="21"/>
              </w:rPr>
            </w:pPr>
          </w:p>
        </w:tc>
        <w:tc>
          <w:tcPr>
            <w:tcW w:w="0" w:type="auto"/>
            <w:vMerge w:val="continue"/>
            <w:vAlign w:val="center"/>
          </w:tcPr>
          <w:p w14:paraId="38884D62">
            <w:pPr>
              <w:adjustRightInd w:val="0"/>
              <w:snapToGrid w:val="0"/>
              <w:jc w:val="center"/>
              <w:rPr>
                <w:szCs w:val="21"/>
              </w:rPr>
            </w:pPr>
          </w:p>
        </w:tc>
        <w:tc>
          <w:tcPr>
            <w:tcW w:w="0" w:type="auto"/>
            <w:vAlign w:val="center"/>
          </w:tcPr>
          <w:p w14:paraId="600D80CA">
            <w:pPr>
              <w:adjustRightInd w:val="0"/>
              <w:snapToGrid w:val="0"/>
              <w:jc w:val="center"/>
              <w:rPr>
                <w:bCs/>
                <w:szCs w:val="21"/>
              </w:rPr>
            </w:pPr>
            <w:r>
              <w:rPr>
                <w:szCs w:val="21"/>
              </w:rPr>
              <w:t>NL24IR010423</w:t>
            </w:r>
          </w:p>
        </w:tc>
        <w:tc>
          <w:tcPr>
            <w:tcW w:w="0" w:type="auto"/>
            <w:vAlign w:val="center"/>
          </w:tcPr>
          <w:p w14:paraId="0112BD92">
            <w:pPr>
              <w:adjustRightInd w:val="0"/>
              <w:snapToGrid w:val="0"/>
              <w:jc w:val="center"/>
              <w:rPr>
                <w:szCs w:val="21"/>
              </w:rPr>
            </w:pPr>
            <w:r>
              <w:rPr>
                <w:szCs w:val="21"/>
              </w:rPr>
              <w:t>3.7E+11</w:t>
            </w:r>
          </w:p>
        </w:tc>
        <w:tc>
          <w:tcPr>
            <w:tcW w:w="0" w:type="auto"/>
            <w:vAlign w:val="center"/>
          </w:tcPr>
          <w:p w14:paraId="46FF4B00">
            <w:pPr>
              <w:adjustRightInd w:val="0"/>
              <w:snapToGrid w:val="0"/>
              <w:jc w:val="center"/>
              <w:rPr>
                <w:bCs/>
                <w:szCs w:val="21"/>
              </w:rPr>
            </w:pPr>
            <w:r>
              <w:rPr>
                <w:szCs w:val="21"/>
              </w:rPr>
              <w:t>2024-04-11</w:t>
            </w:r>
          </w:p>
        </w:tc>
        <w:tc>
          <w:tcPr>
            <w:tcW w:w="0" w:type="auto"/>
            <w:vAlign w:val="center"/>
          </w:tcPr>
          <w:p w14:paraId="4AED2B59">
            <w:pPr>
              <w:adjustRightInd w:val="0"/>
              <w:snapToGrid w:val="0"/>
              <w:jc w:val="center"/>
              <w:rPr>
                <w:bCs/>
                <w:szCs w:val="21"/>
              </w:rPr>
            </w:pPr>
            <w:r>
              <w:rPr>
                <w:szCs w:val="21"/>
              </w:rPr>
              <w:t>D35F4638</w:t>
            </w:r>
          </w:p>
        </w:tc>
        <w:tc>
          <w:tcPr>
            <w:tcW w:w="0" w:type="auto"/>
            <w:vAlign w:val="center"/>
          </w:tcPr>
          <w:p w14:paraId="07A4CD4D">
            <w:pPr>
              <w:jc w:val="center"/>
              <w:rPr>
                <w:bCs/>
                <w:szCs w:val="21"/>
              </w:rPr>
            </w:pPr>
            <w:r>
              <w:rPr>
                <w:bCs/>
                <w:szCs w:val="21"/>
              </w:rPr>
              <w:t>后装治疗机</w:t>
            </w:r>
          </w:p>
        </w:tc>
        <w:tc>
          <w:tcPr>
            <w:tcW w:w="0" w:type="auto"/>
            <w:vAlign w:val="center"/>
          </w:tcPr>
          <w:p w14:paraId="5864BFE3">
            <w:pPr>
              <w:jc w:val="center"/>
              <w:rPr>
                <w:color w:val="000000"/>
                <w:szCs w:val="21"/>
              </w:rPr>
            </w:pPr>
            <w:r>
              <w:rPr>
                <w:bCs/>
                <w:szCs w:val="21"/>
              </w:rPr>
              <w:t>荷兰</w:t>
            </w:r>
          </w:p>
        </w:tc>
      </w:tr>
      <w:tr w14:paraId="398395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0" w:type="auto"/>
            <w:vAlign w:val="center"/>
          </w:tcPr>
          <w:p w14:paraId="3D0FD264">
            <w:pPr>
              <w:adjustRightInd w:val="0"/>
              <w:snapToGrid w:val="0"/>
              <w:jc w:val="center"/>
              <w:rPr>
                <w:bCs/>
                <w:szCs w:val="21"/>
              </w:rPr>
            </w:pPr>
            <w:r>
              <w:rPr>
                <w:bCs/>
                <w:szCs w:val="21"/>
              </w:rPr>
              <w:t>2</w:t>
            </w:r>
          </w:p>
        </w:tc>
        <w:tc>
          <w:tcPr>
            <w:tcW w:w="0" w:type="auto"/>
            <w:vMerge w:val="restart"/>
            <w:vAlign w:val="center"/>
          </w:tcPr>
          <w:p w14:paraId="23071D66">
            <w:pPr>
              <w:adjustRightInd w:val="0"/>
              <w:snapToGrid w:val="0"/>
              <w:jc w:val="center"/>
              <w:rPr>
                <w:szCs w:val="21"/>
              </w:rPr>
            </w:pPr>
            <w:r>
              <w:rPr>
                <w:szCs w:val="21"/>
              </w:rPr>
              <w:t>本院区3号楼负一楼核医学科</w:t>
            </w:r>
          </w:p>
        </w:tc>
        <w:tc>
          <w:tcPr>
            <w:tcW w:w="0" w:type="auto"/>
            <w:vAlign w:val="center"/>
          </w:tcPr>
          <w:p w14:paraId="62FF8814">
            <w:pPr>
              <w:adjustRightInd w:val="0"/>
              <w:snapToGrid w:val="0"/>
              <w:jc w:val="center"/>
              <w:rPr>
                <w:szCs w:val="21"/>
              </w:rPr>
            </w:pPr>
            <w:r>
              <w:rPr>
                <w:szCs w:val="21"/>
              </w:rPr>
              <w:t>Sr-90</w:t>
            </w:r>
          </w:p>
        </w:tc>
        <w:tc>
          <w:tcPr>
            <w:tcW w:w="0" w:type="auto"/>
            <w:vAlign w:val="center"/>
          </w:tcPr>
          <w:p w14:paraId="00143FAF">
            <w:pPr>
              <w:adjustRightInd w:val="0"/>
              <w:snapToGrid w:val="0"/>
              <w:jc w:val="center"/>
              <w:rPr>
                <w:szCs w:val="21"/>
              </w:rPr>
            </w:pPr>
            <w:r>
              <w:rPr>
                <w:szCs w:val="21"/>
              </w:rPr>
              <w:t>V类</w:t>
            </w:r>
          </w:p>
        </w:tc>
        <w:tc>
          <w:tcPr>
            <w:tcW w:w="0" w:type="auto"/>
            <w:vAlign w:val="center"/>
          </w:tcPr>
          <w:p w14:paraId="23DBDCF1">
            <w:pPr>
              <w:adjustRightInd w:val="0"/>
              <w:snapToGrid w:val="0"/>
              <w:jc w:val="center"/>
              <w:rPr>
                <w:szCs w:val="21"/>
              </w:rPr>
            </w:pPr>
            <w:r>
              <w:rPr>
                <w:szCs w:val="21"/>
              </w:rPr>
              <w:t>使用</w:t>
            </w:r>
          </w:p>
        </w:tc>
        <w:tc>
          <w:tcPr>
            <w:tcW w:w="0" w:type="auto"/>
            <w:vAlign w:val="center"/>
          </w:tcPr>
          <w:p w14:paraId="44B7BE27">
            <w:pPr>
              <w:adjustRightInd w:val="0"/>
              <w:snapToGrid w:val="0"/>
              <w:jc w:val="center"/>
              <w:rPr>
                <w:szCs w:val="21"/>
              </w:rPr>
            </w:pPr>
            <w:r>
              <w:rPr>
                <w:szCs w:val="21"/>
              </w:rPr>
              <w:t>6.92E+8*1</w:t>
            </w:r>
          </w:p>
        </w:tc>
        <w:tc>
          <w:tcPr>
            <w:tcW w:w="0" w:type="auto"/>
            <w:vAlign w:val="center"/>
          </w:tcPr>
          <w:p w14:paraId="5806B2E9">
            <w:pPr>
              <w:adjustRightInd w:val="0"/>
              <w:snapToGrid w:val="0"/>
              <w:jc w:val="center"/>
              <w:rPr>
                <w:szCs w:val="21"/>
              </w:rPr>
            </w:pPr>
          </w:p>
        </w:tc>
        <w:tc>
          <w:tcPr>
            <w:tcW w:w="0" w:type="auto"/>
            <w:vAlign w:val="center"/>
          </w:tcPr>
          <w:p w14:paraId="140A7F32">
            <w:pPr>
              <w:adjustRightInd w:val="0"/>
              <w:snapToGrid w:val="0"/>
              <w:jc w:val="center"/>
              <w:rPr>
                <w:szCs w:val="21"/>
              </w:rPr>
            </w:pPr>
          </w:p>
        </w:tc>
        <w:tc>
          <w:tcPr>
            <w:tcW w:w="0" w:type="auto"/>
            <w:vAlign w:val="center"/>
          </w:tcPr>
          <w:p w14:paraId="71BE5FE0">
            <w:pPr>
              <w:adjustRightInd w:val="0"/>
              <w:snapToGrid w:val="0"/>
              <w:jc w:val="center"/>
              <w:rPr>
                <w:szCs w:val="21"/>
              </w:rPr>
            </w:pPr>
          </w:p>
        </w:tc>
        <w:tc>
          <w:tcPr>
            <w:tcW w:w="0" w:type="auto"/>
            <w:vAlign w:val="center"/>
          </w:tcPr>
          <w:p w14:paraId="2F7115DA">
            <w:pPr>
              <w:adjustRightInd w:val="0"/>
              <w:snapToGrid w:val="0"/>
              <w:jc w:val="center"/>
              <w:rPr>
                <w:szCs w:val="21"/>
              </w:rPr>
            </w:pPr>
          </w:p>
        </w:tc>
        <w:tc>
          <w:tcPr>
            <w:tcW w:w="0" w:type="auto"/>
            <w:vAlign w:val="center"/>
          </w:tcPr>
          <w:p w14:paraId="2060213E">
            <w:pPr>
              <w:adjustRightInd w:val="0"/>
              <w:snapToGrid w:val="0"/>
              <w:jc w:val="center"/>
              <w:rPr>
                <w:szCs w:val="21"/>
              </w:rPr>
            </w:pPr>
          </w:p>
        </w:tc>
        <w:tc>
          <w:tcPr>
            <w:tcW w:w="0" w:type="auto"/>
            <w:vAlign w:val="center"/>
          </w:tcPr>
          <w:p w14:paraId="22E80138">
            <w:pPr>
              <w:adjustRightInd w:val="0"/>
              <w:snapToGrid w:val="0"/>
              <w:jc w:val="center"/>
              <w:rPr>
                <w:color w:val="000000"/>
                <w:szCs w:val="21"/>
              </w:rPr>
            </w:pPr>
          </w:p>
        </w:tc>
      </w:tr>
      <w:tr w14:paraId="661E76C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0" w:type="auto"/>
            <w:vAlign w:val="center"/>
          </w:tcPr>
          <w:p w14:paraId="081BF4CD">
            <w:pPr>
              <w:adjustRightInd w:val="0"/>
              <w:snapToGrid w:val="0"/>
              <w:jc w:val="center"/>
              <w:rPr>
                <w:bCs/>
                <w:szCs w:val="21"/>
              </w:rPr>
            </w:pPr>
            <w:r>
              <w:rPr>
                <w:bCs/>
                <w:szCs w:val="21"/>
              </w:rPr>
              <w:t>3</w:t>
            </w:r>
          </w:p>
        </w:tc>
        <w:tc>
          <w:tcPr>
            <w:tcW w:w="0" w:type="auto"/>
            <w:vMerge w:val="continue"/>
            <w:vAlign w:val="center"/>
          </w:tcPr>
          <w:p w14:paraId="338B236E">
            <w:pPr>
              <w:adjustRightInd w:val="0"/>
              <w:snapToGrid w:val="0"/>
              <w:jc w:val="center"/>
              <w:rPr>
                <w:szCs w:val="21"/>
              </w:rPr>
            </w:pPr>
          </w:p>
        </w:tc>
        <w:tc>
          <w:tcPr>
            <w:tcW w:w="0" w:type="auto"/>
            <w:vAlign w:val="center"/>
          </w:tcPr>
          <w:p w14:paraId="7BDB0D52">
            <w:pPr>
              <w:adjustRightInd w:val="0"/>
              <w:snapToGrid w:val="0"/>
              <w:jc w:val="center"/>
              <w:rPr>
                <w:szCs w:val="21"/>
              </w:rPr>
            </w:pPr>
            <w:r>
              <w:rPr>
                <w:szCs w:val="21"/>
              </w:rPr>
              <w:t>Sr-90</w:t>
            </w:r>
          </w:p>
        </w:tc>
        <w:tc>
          <w:tcPr>
            <w:tcW w:w="0" w:type="auto"/>
            <w:vAlign w:val="center"/>
          </w:tcPr>
          <w:p w14:paraId="1D9B053E">
            <w:pPr>
              <w:adjustRightInd w:val="0"/>
              <w:snapToGrid w:val="0"/>
              <w:jc w:val="center"/>
              <w:rPr>
                <w:szCs w:val="21"/>
              </w:rPr>
            </w:pPr>
            <w:r>
              <w:rPr>
                <w:szCs w:val="21"/>
              </w:rPr>
              <w:t>V类</w:t>
            </w:r>
          </w:p>
        </w:tc>
        <w:tc>
          <w:tcPr>
            <w:tcW w:w="0" w:type="auto"/>
            <w:vAlign w:val="center"/>
          </w:tcPr>
          <w:p w14:paraId="5F24D824">
            <w:pPr>
              <w:adjustRightInd w:val="0"/>
              <w:snapToGrid w:val="0"/>
              <w:jc w:val="center"/>
              <w:rPr>
                <w:szCs w:val="21"/>
              </w:rPr>
            </w:pPr>
            <w:r>
              <w:rPr>
                <w:szCs w:val="21"/>
              </w:rPr>
              <w:t>使用</w:t>
            </w:r>
          </w:p>
        </w:tc>
        <w:tc>
          <w:tcPr>
            <w:tcW w:w="0" w:type="auto"/>
            <w:vAlign w:val="center"/>
          </w:tcPr>
          <w:p w14:paraId="2384B4E5">
            <w:pPr>
              <w:adjustRightInd w:val="0"/>
              <w:snapToGrid w:val="0"/>
              <w:jc w:val="center"/>
              <w:rPr>
                <w:szCs w:val="21"/>
              </w:rPr>
            </w:pPr>
            <w:r>
              <w:rPr>
                <w:szCs w:val="21"/>
              </w:rPr>
              <w:t>7.4E+8*1</w:t>
            </w:r>
          </w:p>
        </w:tc>
        <w:tc>
          <w:tcPr>
            <w:tcW w:w="0" w:type="auto"/>
            <w:vAlign w:val="center"/>
          </w:tcPr>
          <w:p w14:paraId="351C8A89">
            <w:pPr>
              <w:jc w:val="center"/>
              <w:rPr>
                <w:szCs w:val="21"/>
              </w:rPr>
            </w:pPr>
            <w:r>
              <w:rPr>
                <w:szCs w:val="21"/>
              </w:rPr>
              <w:t>RU225R000535</w:t>
            </w:r>
          </w:p>
        </w:tc>
        <w:tc>
          <w:tcPr>
            <w:tcW w:w="0" w:type="auto"/>
            <w:vAlign w:val="center"/>
          </w:tcPr>
          <w:p w14:paraId="22FB7F57">
            <w:pPr>
              <w:jc w:val="center"/>
              <w:rPr>
                <w:szCs w:val="21"/>
              </w:rPr>
            </w:pPr>
            <w:r>
              <w:rPr>
                <w:szCs w:val="21"/>
              </w:rPr>
              <w:t>7.4E+8</w:t>
            </w:r>
          </w:p>
        </w:tc>
        <w:tc>
          <w:tcPr>
            <w:tcW w:w="0" w:type="auto"/>
            <w:vAlign w:val="center"/>
          </w:tcPr>
          <w:p w14:paraId="2550F0B8">
            <w:pPr>
              <w:jc w:val="center"/>
              <w:rPr>
                <w:szCs w:val="21"/>
              </w:rPr>
            </w:pPr>
            <w:r>
              <w:rPr>
                <w:szCs w:val="21"/>
              </w:rPr>
              <w:t>2022-08-01</w:t>
            </w:r>
          </w:p>
        </w:tc>
        <w:tc>
          <w:tcPr>
            <w:tcW w:w="0" w:type="auto"/>
            <w:vAlign w:val="center"/>
          </w:tcPr>
          <w:p w14:paraId="2D2F7A98">
            <w:pPr>
              <w:adjustRightInd w:val="0"/>
              <w:snapToGrid w:val="0"/>
              <w:jc w:val="center"/>
              <w:rPr>
                <w:bCs/>
                <w:szCs w:val="21"/>
              </w:rPr>
            </w:pPr>
            <w:r>
              <w:rPr>
                <w:bCs/>
                <w:szCs w:val="21"/>
              </w:rPr>
              <w:t>Sr90.38.22</w:t>
            </w:r>
          </w:p>
        </w:tc>
        <w:tc>
          <w:tcPr>
            <w:tcW w:w="0" w:type="auto"/>
            <w:vAlign w:val="center"/>
          </w:tcPr>
          <w:p w14:paraId="117ED218">
            <w:pPr>
              <w:adjustRightInd w:val="0"/>
              <w:snapToGrid w:val="0"/>
              <w:jc w:val="center"/>
              <w:rPr>
                <w:bCs/>
                <w:szCs w:val="21"/>
              </w:rPr>
            </w:pPr>
            <w:r>
              <w:rPr>
                <w:bCs/>
                <w:szCs w:val="21"/>
              </w:rPr>
              <w:t>敷贴器</w:t>
            </w:r>
          </w:p>
        </w:tc>
        <w:tc>
          <w:tcPr>
            <w:tcW w:w="0" w:type="auto"/>
            <w:vAlign w:val="center"/>
          </w:tcPr>
          <w:p w14:paraId="494E9106">
            <w:pPr>
              <w:adjustRightInd w:val="0"/>
              <w:snapToGrid w:val="0"/>
              <w:jc w:val="center"/>
              <w:rPr>
                <w:bCs/>
                <w:szCs w:val="21"/>
              </w:rPr>
            </w:pPr>
            <w:r>
              <w:rPr>
                <w:bCs/>
                <w:szCs w:val="21"/>
              </w:rPr>
              <w:t>佛山两峰贸易有限公司</w:t>
            </w:r>
          </w:p>
        </w:tc>
      </w:tr>
      <w:tr w14:paraId="2688B96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0" w:type="auto"/>
            <w:vAlign w:val="center"/>
          </w:tcPr>
          <w:p w14:paraId="39BED9AD">
            <w:pPr>
              <w:adjustRightInd w:val="0"/>
              <w:snapToGrid w:val="0"/>
              <w:jc w:val="center"/>
              <w:rPr>
                <w:bCs/>
                <w:szCs w:val="21"/>
              </w:rPr>
            </w:pPr>
            <w:r>
              <w:rPr>
                <w:bCs/>
                <w:szCs w:val="21"/>
              </w:rPr>
              <w:t>4</w:t>
            </w:r>
          </w:p>
        </w:tc>
        <w:tc>
          <w:tcPr>
            <w:tcW w:w="0" w:type="auto"/>
            <w:vMerge w:val="continue"/>
            <w:vAlign w:val="center"/>
          </w:tcPr>
          <w:p w14:paraId="69B19C95">
            <w:pPr>
              <w:adjustRightInd w:val="0"/>
              <w:snapToGrid w:val="0"/>
              <w:jc w:val="center"/>
              <w:rPr>
                <w:szCs w:val="21"/>
              </w:rPr>
            </w:pPr>
          </w:p>
        </w:tc>
        <w:tc>
          <w:tcPr>
            <w:tcW w:w="0" w:type="auto"/>
            <w:vAlign w:val="center"/>
          </w:tcPr>
          <w:p w14:paraId="5DD0FF0E">
            <w:pPr>
              <w:adjustRightInd w:val="0"/>
              <w:snapToGrid w:val="0"/>
              <w:jc w:val="center"/>
              <w:rPr>
                <w:szCs w:val="21"/>
              </w:rPr>
            </w:pPr>
            <w:r>
              <w:rPr>
                <w:szCs w:val="21"/>
              </w:rPr>
              <w:t>Ge-68</w:t>
            </w:r>
          </w:p>
        </w:tc>
        <w:tc>
          <w:tcPr>
            <w:tcW w:w="0" w:type="auto"/>
            <w:vAlign w:val="center"/>
          </w:tcPr>
          <w:p w14:paraId="35D5B0C0">
            <w:pPr>
              <w:adjustRightInd w:val="0"/>
              <w:snapToGrid w:val="0"/>
              <w:jc w:val="center"/>
              <w:rPr>
                <w:szCs w:val="21"/>
              </w:rPr>
            </w:pPr>
            <w:r>
              <w:rPr>
                <w:szCs w:val="21"/>
              </w:rPr>
              <w:t>V类</w:t>
            </w:r>
          </w:p>
        </w:tc>
        <w:tc>
          <w:tcPr>
            <w:tcW w:w="0" w:type="auto"/>
            <w:vAlign w:val="center"/>
          </w:tcPr>
          <w:p w14:paraId="61EA8878">
            <w:pPr>
              <w:adjustRightInd w:val="0"/>
              <w:snapToGrid w:val="0"/>
              <w:jc w:val="center"/>
              <w:rPr>
                <w:szCs w:val="21"/>
              </w:rPr>
            </w:pPr>
            <w:r>
              <w:rPr>
                <w:szCs w:val="21"/>
              </w:rPr>
              <w:t>使用</w:t>
            </w:r>
          </w:p>
        </w:tc>
        <w:tc>
          <w:tcPr>
            <w:tcW w:w="0" w:type="auto"/>
            <w:vAlign w:val="center"/>
          </w:tcPr>
          <w:p w14:paraId="7D8251CF">
            <w:pPr>
              <w:adjustRightInd w:val="0"/>
              <w:snapToGrid w:val="0"/>
              <w:jc w:val="center"/>
              <w:rPr>
                <w:szCs w:val="21"/>
              </w:rPr>
            </w:pPr>
            <w:r>
              <w:rPr>
                <w:szCs w:val="21"/>
              </w:rPr>
              <w:t>3.5E+6*1</w:t>
            </w:r>
          </w:p>
        </w:tc>
        <w:tc>
          <w:tcPr>
            <w:tcW w:w="0" w:type="auto"/>
            <w:vAlign w:val="center"/>
          </w:tcPr>
          <w:p w14:paraId="0B8979D3">
            <w:pPr>
              <w:jc w:val="center"/>
              <w:rPr>
                <w:szCs w:val="21"/>
              </w:rPr>
            </w:pPr>
          </w:p>
        </w:tc>
        <w:tc>
          <w:tcPr>
            <w:tcW w:w="0" w:type="auto"/>
            <w:vAlign w:val="center"/>
          </w:tcPr>
          <w:p w14:paraId="34133E70">
            <w:pPr>
              <w:jc w:val="center"/>
              <w:rPr>
                <w:szCs w:val="21"/>
              </w:rPr>
            </w:pPr>
          </w:p>
        </w:tc>
        <w:tc>
          <w:tcPr>
            <w:tcW w:w="0" w:type="auto"/>
            <w:vAlign w:val="center"/>
          </w:tcPr>
          <w:p w14:paraId="614F1DA9">
            <w:pPr>
              <w:jc w:val="center"/>
              <w:rPr>
                <w:szCs w:val="21"/>
              </w:rPr>
            </w:pPr>
          </w:p>
        </w:tc>
        <w:tc>
          <w:tcPr>
            <w:tcW w:w="0" w:type="auto"/>
            <w:vAlign w:val="center"/>
          </w:tcPr>
          <w:p w14:paraId="3331C778">
            <w:pPr>
              <w:adjustRightInd w:val="0"/>
              <w:snapToGrid w:val="0"/>
              <w:jc w:val="center"/>
              <w:rPr>
                <w:bCs/>
                <w:szCs w:val="21"/>
              </w:rPr>
            </w:pPr>
          </w:p>
        </w:tc>
        <w:tc>
          <w:tcPr>
            <w:tcW w:w="0" w:type="auto"/>
            <w:vAlign w:val="center"/>
          </w:tcPr>
          <w:p w14:paraId="17BE0FBA">
            <w:pPr>
              <w:adjustRightInd w:val="0"/>
              <w:snapToGrid w:val="0"/>
              <w:jc w:val="center"/>
              <w:rPr>
                <w:bCs/>
                <w:szCs w:val="21"/>
              </w:rPr>
            </w:pPr>
          </w:p>
        </w:tc>
        <w:tc>
          <w:tcPr>
            <w:tcW w:w="0" w:type="auto"/>
            <w:vAlign w:val="center"/>
          </w:tcPr>
          <w:p w14:paraId="716E10D5">
            <w:pPr>
              <w:adjustRightInd w:val="0"/>
              <w:snapToGrid w:val="0"/>
              <w:jc w:val="center"/>
              <w:rPr>
                <w:bCs/>
                <w:szCs w:val="21"/>
              </w:rPr>
            </w:pPr>
          </w:p>
        </w:tc>
      </w:tr>
      <w:tr w14:paraId="5C224C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0" w:type="auto"/>
            <w:vAlign w:val="center"/>
          </w:tcPr>
          <w:p w14:paraId="663DB8B3">
            <w:pPr>
              <w:adjustRightInd w:val="0"/>
              <w:snapToGrid w:val="0"/>
              <w:jc w:val="center"/>
              <w:rPr>
                <w:bCs/>
                <w:szCs w:val="21"/>
              </w:rPr>
            </w:pPr>
            <w:r>
              <w:rPr>
                <w:bCs/>
                <w:szCs w:val="21"/>
              </w:rPr>
              <w:t>5</w:t>
            </w:r>
          </w:p>
        </w:tc>
        <w:tc>
          <w:tcPr>
            <w:tcW w:w="0" w:type="auto"/>
            <w:vMerge w:val="continue"/>
            <w:vAlign w:val="center"/>
          </w:tcPr>
          <w:p w14:paraId="68E396C6">
            <w:pPr>
              <w:adjustRightInd w:val="0"/>
              <w:snapToGrid w:val="0"/>
              <w:jc w:val="center"/>
              <w:rPr>
                <w:szCs w:val="21"/>
              </w:rPr>
            </w:pPr>
          </w:p>
        </w:tc>
        <w:tc>
          <w:tcPr>
            <w:tcW w:w="0" w:type="auto"/>
            <w:vAlign w:val="center"/>
          </w:tcPr>
          <w:p w14:paraId="7E1C0B68">
            <w:pPr>
              <w:adjustRightInd w:val="0"/>
              <w:snapToGrid w:val="0"/>
              <w:jc w:val="center"/>
              <w:rPr>
                <w:szCs w:val="21"/>
              </w:rPr>
            </w:pPr>
            <w:r>
              <w:rPr>
                <w:szCs w:val="21"/>
              </w:rPr>
              <w:t>Ge-68</w:t>
            </w:r>
          </w:p>
        </w:tc>
        <w:tc>
          <w:tcPr>
            <w:tcW w:w="0" w:type="auto"/>
            <w:vAlign w:val="center"/>
          </w:tcPr>
          <w:p w14:paraId="14EEA10D">
            <w:pPr>
              <w:adjustRightInd w:val="0"/>
              <w:snapToGrid w:val="0"/>
              <w:jc w:val="center"/>
              <w:rPr>
                <w:szCs w:val="21"/>
              </w:rPr>
            </w:pPr>
            <w:r>
              <w:rPr>
                <w:szCs w:val="21"/>
              </w:rPr>
              <w:t>V类</w:t>
            </w:r>
          </w:p>
        </w:tc>
        <w:tc>
          <w:tcPr>
            <w:tcW w:w="0" w:type="auto"/>
            <w:vAlign w:val="center"/>
          </w:tcPr>
          <w:p w14:paraId="21A52466">
            <w:pPr>
              <w:adjustRightInd w:val="0"/>
              <w:snapToGrid w:val="0"/>
              <w:jc w:val="center"/>
              <w:rPr>
                <w:szCs w:val="21"/>
              </w:rPr>
            </w:pPr>
            <w:r>
              <w:rPr>
                <w:szCs w:val="21"/>
              </w:rPr>
              <w:t>使用</w:t>
            </w:r>
          </w:p>
        </w:tc>
        <w:tc>
          <w:tcPr>
            <w:tcW w:w="0" w:type="auto"/>
            <w:vAlign w:val="center"/>
          </w:tcPr>
          <w:p w14:paraId="57722B21">
            <w:pPr>
              <w:adjustRightInd w:val="0"/>
              <w:snapToGrid w:val="0"/>
              <w:jc w:val="center"/>
              <w:rPr>
                <w:szCs w:val="21"/>
              </w:rPr>
            </w:pPr>
            <w:r>
              <w:rPr>
                <w:szCs w:val="21"/>
              </w:rPr>
              <w:t>1.85E+7*1</w:t>
            </w:r>
          </w:p>
        </w:tc>
        <w:tc>
          <w:tcPr>
            <w:tcW w:w="0" w:type="auto"/>
            <w:vAlign w:val="center"/>
          </w:tcPr>
          <w:p w14:paraId="51ED752B">
            <w:pPr>
              <w:jc w:val="center"/>
              <w:rPr>
                <w:szCs w:val="21"/>
              </w:rPr>
            </w:pPr>
            <w:r>
              <w:rPr>
                <w:szCs w:val="21"/>
              </w:rPr>
              <w:t>TR23GE004895</w:t>
            </w:r>
          </w:p>
        </w:tc>
        <w:tc>
          <w:tcPr>
            <w:tcW w:w="0" w:type="auto"/>
            <w:vAlign w:val="center"/>
          </w:tcPr>
          <w:p w14:paraId="1DB4C6D8">
            <w:pPr>
              <w:jc w:val="center"/>
              <w:rPr>
                <w:szCs w:val="21"/>
              </w:rPr>
            </w:pPr>
            <w:r>
              <w:rPr>
                <w:szCs w:val="21"/>
              </w:rPr>
              <w:t>1.85E+7</w:t>
            </w:r>
          </w:p>
        </w:tc>
        <w:tc>
          <w:tcPr>
            <w:tcW w:w="0" w:type="auto"/>
            <w:vAlign w:val="center"/>
          </w:tcPr>
          <w:p w14:paraId="3B3D063D">
            <w:pPr>
              <w:jc w:val="center"/>
              <w:rPr>
                <w:szCs w:val="21"/>
              </w:rPr>
            </w:pPr>
            <w:r>
              <w:rPr>
                <w:szCs w:val="21"/>
              </w:rPr>
              <w:t>2023-08-07</w:t>
            </w:r>
          </w:p>
        </w:tc>
        <w:tc>
          <w:tcPr>
            <w:tcW w:w="0" w:type="auto"/>
            <w:vAlign w:val="center"/>
          </w:tcPr>
          <w:p w14:paraId="2F252DB9">
            <w:pPr>
              <w:adjustRightInd w:val="0"/>
              <w:snapToGrid w:val="0"/>
              <w:jc w:val="center"/>
              <w:rPr>
                <w:bCs/>
                <w:szCs w:val="21"/>
              </w:rPr>
            </w:pPr>
            <w:r>
              <w:rPr>
                <w:bCs/>
                <w:szCs w:val="21"/>
              </w:rPr>
              <w:t>2021-23-19</w:t>
            </w:r>
          </w:p>
        </w:tc>
        <w:tc>
          <w:tcPr>
            <w:tcW w:w="0" w:type="auto"/>
            <w:vAlign w:val="center"/>
          </w:tcPr>
          <w:p w14:paraId="4057EAB3">
            <w:pPr>
              <w:adjustRightInd w:val="0"/>
              <w:snapToGrid w:val="0"/>
              <w:jc w:val="center"/>
              <w:rPr>
                <w:bCs/>
                <w:szCs w:val="21"/>
              </w:rPr>
            </w:pPr>
            <w:r>
              <w:rPr>
                <w:bCs/>
                <w:szCs w:val="21"/>
              </w:rPr>
              <w:t>刻度/校准源</w:t>
            </w:r>
          </w:p>
        </w:tc>
        <w:tc>
          <w:tcPr>
            <w:tcW w:w="0" w:type="auto"/>
            <w:vAlign w:val="center"/>
          </w:tcPr>
          <w:p w14:paraId="07D39C5D">
            <w:pPr>
              <w:adjustRightInd w:val="0"/>
              <w:snapToGrid w:val="0"/>
              <w:jc w:val="center"/>
              <w:rPr>
                <w:bCs/>
                <w:szCs w:val="21"/>
              </w:rPr>
            </w:pPr>
            <w:r>
              <w:rPr>
                <w:bCs/>
                <w:szCs w:val="21"/>
              </w:rPr>
              <w:t>土耳其</w:t>
            </w:r>
          </w:p>
        </w:tc>
      </w:tr>
    </w:tbl>
    <w:p w14:paraId="36C63968">
      <w:pPr>
        <w:rPr>
          <w:lang w:val="zh-CN"/>
        </w:rPr>
      </w:pPr>
    </w:p>
    <w:p w14:paraId="11CB88E0">
      <w:pPr>
        <w:pStyle w:val="15"/>
        <w:keepNext/>
        <w:rPr>
          <w:color w:val="000000"/>
        </w:rPr>
      </w:pPr>
      <w:bookmarkStart w:id="195" w:name="_Toc74750871"/>
      <w:bookmarkStart w:id="196" w:name="_Toc34738360"/>
      <w:bookmarkStart w:id="197" w:name="_Toc94259309"/>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1</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2</w:t>
      </w:r>
      <w:r>
        <w:rPr>
          <w:color w:val="000000"/>
        </w:rPr>
        <w:fldChar w:fldCharType="end"/>
      </w:r>
      <w:r>
        <w:rPr>
          <w:color w:val="000000"/>
        </w:rPr>
        <w:t>医院已获许可使用的非密封放射物质明细</w:t>
      </w:r>
      <w:bookmarkEnd w:id="195"/>
      <w:bookmarkEnd w:id="196"/>
      <w:bookmarkEnd w:id="197"/>
    </w:p>
    <w:tbl>
      <w:tblPr>
        <w:tblStyle w:val="45"/>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76"/>
        <w:gridCol w:w="2211"/>
        <w:gridCol w:w="875"/>
        <w:gridCol w:w="1472"/>
        <w:gridCol w:w="875"/>
        <w:gridCol w:w="875"/>
        <w:gridCol w:w="1319"/>
        <w:gridCol w:w="1950"/>
        <w:gridCol w:w="2219"/>
        <w:gridCol w:w="1802"/>
      </w:tblGrid>
      <w:tr w14:paraId="300B37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blHeader/>
          <w:jc w:val="center"/>
        </w:trPr>
        <w:tc>
          <w:tcPr>
            <w:tcW w:w="0" w:type="auto"/>
            <w:vAlign w:val="center"/>
          </w:tcPr>
          <w:p w14:paraId="4F750C63">
            <w:pPr>
              <w:adjustRightInd w:val="0"/>
              <w:snapToGrid w:val="0"/>
              <w:jc w:val="center"/>
              <w:rPr>
                <w:b/>
                <w:szCs w:val="21"/>
              </w:rPr>
            </w:pPr>
            <w:r>
              <w:rPr>
                <w:b/>
                <w:szCs w:val="21"/>
              </w:rPr>
              <w:t>序号</w:t>
            </w:r>
          </w:p>
        </w:tc>
        <w:tc>
          <w:tcPr>
            <w:tcW w:w="0" w:type="auto"/>
            <w:vAlign w:val="center"/>
          </w:tcPr>
          <w:p w14:paraId="58690B21">
            <w:pPr>
              <w:adjustRightInd w:val="0"/>
              <w:snapToGrid w:val="0"/>
              <w:jc w:val="center"/>
              <w:rPr>
                <w:b/>
                <w:szCs w:val="21"/>
              </w:rPr>
            </w:pPr>
            <w:r>
              <w:rPr>
                <w:b/>
                <w:szCs w:val="21"/>
              </w:rPr>
              <w:t>辐射工作场所名称</w:t>
            </w:r>
          </w:p>
        </w:tc>
        <w:tc>
          <w:tcPr>
            <w:tcW w:w="0" w:type="auto"/>
            <w:vAlign w:val="center"/>
          </w:tcPr>
          <w:p w14:paraId="50DCD0AC">
            <w:pPr>
              <w:adjustRightInd w:val="0"/>
              <w:snapToGrid w:val="0"/>
              <w:jc w:val="center"/>
              <w:rPr>
                <w:b/>
                <w:szCs w:val="21"/>
              </w:rPr>
            </w:pPr>
            <w:r>
              <w:rPr>
                <w:b/>
                <w:szCs w:val="21"/>
              </w:rPr>
              <w:t>场所等级</w:t>
            </w:r>
          </w:p>
        </w:tc>
        <w:tc>
          <w:tcPr>
            <w:tcW w:w="0" w:type="auto"/>
            <w:vAlign w:val="center"/>
          </w:tcPr>
          <w:p w14:paraId="423E2E9A">
            <w:pPr>
              <w:adjustRightInd w:val="0"/>
              <w:snapToGrid w:val="0"/>
              <w:jc w:val="center"/>
              <w:rPr>
                <w:b/>
                <w:szCs w:val="21"/>
              </w:rPr>
            </w:pPr>
            <w:r>
              <w:rPr>
                <w:b/>
                <w:szCs w:val="21"/>
              </w:rPr>
              <w:t>核素</w:t>
            </w:r>
          </w:p>
        </w:tc>
        <w:tc>
          <w:tcPr>
            <w:tcW w:w="0" w:type="auto"/>
            <w:vAlign w:val="center"/>
          </w:tcPr>
          <w:p w14:paraId="668E94CC">
            <w:pPr>
              <w:adjustRightInd w:val="0"/>
              <w:snapToGrid w:val="0"/>
              <w:jc w:val="center"/>
              <w:rPr>
                <w:b/>
                <w:szCs w:val="21"/>
              </w:rPr>
            </w:pPr>
            <w:r>
              <w:rPr>
                <w:b/>
                <w:szCs w:val="21"/>
              </w:rPr>
              <w:t>物理状态</w:t>
            </w:r>
          </w:p>
        </w:tc>
        <w:tc>
          <w:tcPr>
            <w:tcW w:w="0" w:type="auto"/>
            <w:vAlign w:val="center"/>
          </w:tcPr>
          <w:p w14:paraId="06EF418F">
            <w:pPr>
              <w:adjustRightInd w:val="0"/>
              <w:snapToGrid w:val="0"/>
              <w:jc w:val="center"/>
              <w:rPr>
                <w:b/>
                <w:szCs w:val="21"/>
              </w:rPr>
            </w:pPr>
            <w:r>
              <w:rPr>
                <w:b/>
                <w:szCs w:val="21"/>
              </w:rPr>
              <w:t>活动种类</w:t>
            </w:r>
          </w:p>
        </w:tc>
        <w:tc>
          <w:tcPr>
            <w:tcW w:w="0" w:type="auto"/>
            <w:vAlign w:val="center"/>
          </w:tcPr>
          <w:p w14:paraId="23B2D08F">
            <w:pPr>
              <w:adjustRightInd w:val="0"/>
              <w:snapToGrid w:val="0"/>
              <w:jc w:val="center"/>
              <w:rPr>
                <w:b/>
                <w:szCs w:val="21"/>
              </w:rPr>
            </w:pPr>
            <w:r>
              <w:rPr>
                <w:b/>
                <w:szCs w:val="21"/>
              </w:rPr>
              <w:t>用途</w:t>
            </w:r>
          </w:p>
        </w:tc>
        <w:tc>
          <w:tcPr>
            <w:tcW w:w="0" w:type="auto"/>
            <w:vAlign w:val="center"/>
          </w:tcPr>
          <w:p w14:paraId="1DF7CDFA">
            <w:pPr>
              <w:adjustRightInd w:val="0"/>
              <w:snapToGrid w:val="0"/>
              <w:jc w:val="center"/>
              <w:rPr>
                <w:b/>
                <w:szCs w:val="21"/>
              </w:rPr>
            </w:pPr>
            <w:r>
              <w:rPr>
                <w:b/>
                <w:szCs w:val="21"/>
              </w:rPr>
              <w:t>日最大操作量（贝可）</w:t>
            </w:r>
          </w:p>
        </w:tc>
        <w:tc>
          <w:tcPr>
            <w:tcW w:w="0" w:type="auto"/>
            <w:vAlign w:val="center"/>
          </w:tcPr>
          <w:p w14:paraId="46A5A2FF">
            <w:pPr>
              <w:adjustRightInd w:val="0"/>
              <w:snapToGrid w:val="0"/>
              <w:jc w:val="center"/>
              <w:rPr>
                <w:b/>
                <w:szCs w:val="21"/>
              </w:rPr>
            </w:pPr>
            <w:r>
              <w:rPr>
                <w:b/>
                <w:szCs w:val="21"/>
              </w:rPr>
              <w:t>日等效最大操作量（贝可）</w:t>
            </w:r>
          </w:p>
        </w:tc>
        <w:tc>
          <w:tcPr>
            <w:tcW w:w="0" w:type="auto"/>
            <w:vAlign w:val="center"/>
          </w:tcPr>
          <w:p w14:paraId="5B6AECCC">
            <w:pPr>
              <w:adjustRightInd w:val="0"/>
              <w:snapToGrid w:val="0"/>
              <w:jc w:val="center"/>
              <w:rPr>
                <w:b/>
                <w:szCs w:val="21"/>
              </w:rPr>
            </w:pPr>
            <w:r>
              <w:rPr>
                <w:b/>
                <w:szCs w:val="21"/>
              </w:rPr>
              <w:t>年最大用量（贝可）</w:t>
            </w:r>
          </w:p>
        </w:tc>
      </w:tr>
      <w:tr w14:paraId="4CBCEC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396F8B46">
            <w:pPr>
              <w:adjustRightInd w:val="0"/>
              <w:snapToGrid w:val="0"/>
              <w:jc w:val="center"/>
              <w:rPr>
                <w:szCs w:val="21"/>
              </w:rPr>
            </w:pPr>
            <w:r>
              <w:rPr>
                <w:szCs w:val="21"/>
              </w:rPr>
              <w:t>1</w:t>
            </w:r>
          </w:p>
        </w:tc>
        <w:tc>
          <w:tcPr>
            <w:tcW w:w="0" w:type="auto"/>
            <w:vMerge w:val="restart"/>
            <w:vAlign w:val="center"/>
          </w:tcPr>
          <w:p w14:paraId="073ED646">
            <w:pPr>
              <w:adjustRightInd w:val="0"/>
              <w:snapToGrid w:val="0"/>
              <w:jc w:val="center"/>
              <w:rPr>
                <w:szCs w:val="21"/>
              </w:rPr>
            </w:pPr>
            <w:r>
              <w:rPr>
                <w:szCs w:val="21"/>
              </w:rPr>
              <w:t>本院区3号楼二楼</w:t>
            </w:r>
          </w:p>
        </w:tc>
        <w:tc>
          <w:tcPr>
            <w:tcW w:w="0" w:type="auto"/>
            <w:vMerge w:val="restart"/>
            <w:vAlign w:val="center"/>
          </w:tcPr>
          <w:p w14:paraId="10AEE6BE">
            <w:pPr>
              <w:adjustRightInd w:val="0"/>
              <w:snapToGrid w:val="0"/>
              <w:jc w:val="center"/>
              <w:rPr>
                <w:szCs w:val="21"/>
              </w:rPr>
            </w:pPr>
            <w:r>
              <w:rPr>
                <w:szCs w:val="21"/>
              </w:rPr>
              <w:t>乙级</w:t>
            </w:r>
          </w:p>
        </w:tc>
        <w:tc>
          <w:tcPr>
            <w:tcW w:w="0" w:type="auto"/>
            <w:vAlign w:val="center"/>
          </w:tcPr>
          <w:p w14:paraId="20D6BA0D">
            <w:pPr>
              <w:adjustRightInd w:val="0"/>
              <w:snapToGrid w:val="0"/>
              <w:jc w:val="center"/>
              <w:rPr>
                <w:szCs w:val="21"/>
              </w:rPr>
            </w:pPr>
            <w:r>
              <w:rPr>
                <w:szCs w:val="21"/>
              </w:rPr>
              <w:t>Y-90</w:t>
            </w:r>
          </w:p>
        </w:tc>
        <w:tc>
          <w:tcPr>
            <w:tcW w:w="0" w:type="auto"/>
            <w:vAlign w:val="center"/>
          </w:tcPr>
          <w:p w14:paraId="68AC52F2">
            <w:pPr>
              <w:adjustRightInd w:val="0"/>
              <w:snapToGrid w:val="0"/>
              <w:jc w:val="center"/>
              <w:rPr>
                <w:szCs w:val="21"/>
              </w:rPr>
            </w:pPr>
            <w:r>
              <w:rPr>
                <w:szCs w:val="21"/>
              </w:rPr>
              <w:t>液态</w:t>
            </w:r>
          </w:p>
        </w:tc>
        <w:tc>
          <w:tcPr>
            <w:tcW w:w="0" w:type="auto"/>
            <w:vAlign w:val="center"/>
          </w:tcPr>
          <w:p w14:paraId="35F70008">
            <w:pPr>
              <w:adjustRightInd w:val="0"/>
              <w:snapToGrid w:val="0"/>
              <w:jc w:val="center"/>
              <w:rPr>
                <w:szCs w:val="21"/>
              </w:rPr>
            </w:pPr>
            <w:r>
              <w:rPr>
                <w:szCs w:val="21"/>
              </w:rPr>
              <w:t>使用</w:t>
            </w:r>
          </w:p>
        </w:tc>
        <w:tc>
          <w:tcPr>
            <w:tcW w:w="0" w:type="auto"/>
            <w:vAlign w:val="center"/>
          </w:tcPr>
          <w:p w14:paraId="5FC8FEE2">
            <w:pPr>
              <w:adjustRightInd w:val="0"/>
              <w:snapToGrid w:val="0"/>
              <w:jc w:val="center"/>
              <w:rPr>
                <w:szCs w:val="21"/>
              </w:rPr>
            </w:pPr>
            <w:r>
              <w:rPr>
                <w:szCs w:val="21"/>
              </w:rPr>
              <w:t>放射性药物治疗</w:t>
            </w:r>
          </w:p>
        </w:tc>
        <w:tc>
          <w:tcPr>
            <w:tcW w:w="0" w:type="auto"/>
            <w:vAlign w:val="center"/>
          </w:tcPr>
          <w:p w14:paraId="3CE704FC">
            <w:pPr>
              <w:adjustRightInd w:val="0"/>
              <w:snapToGrid w:val="0"/>
              <w:jc w:val="center"/>
              <w:rPr>
                <w:szCs w:val="21"/>
              </w:rPr>
            </w:pPr>
            <w:r>
              <w:rPr>
                <w:szCs w:val="21"/>
              </w:rPr>
              <w:t>5E+8</w:t>
            </w:r>
          </w:p>
        </w:tc>
        <w:tc>
          <w:tcPr>
            <w:tcW w:w="0" w:type="auto"/>
            <w:vAlign w:val="center"/>
          </w:tcPr>
          <w:p w14:paraId="05B70C12">
            <w:pPr>
              <w:adjustRightInd w:val="0"/>
              <w:snapToGrid w:val="0"/>
              <w:jc w:val="center"/>
              <w:rPr>
                <w:szCs w:val="21"/>
              </w:rPr>
            </w:pPr>
            <w:r>
              <w:rPr>
                <w:szCs w:val="21"/>
              </w:rPr>
              <w:t>5E+7</w:t>
            </w:r>
          </w:p>
        </w:tc>
        <w:tc>
          <w:tcPr>
            <w:tcW w:w="0" w:type="auto"/>
            <w:vAlign w:val="center"/>
          </w:tcPr>
          <w:p w14:paraId="5A56BDD1">
            <w:pPr>
              <w:adjustRightInd w:val="0"/>
              <w:snapToGrid w:val="0"/>
              <w:jc w:val="center"/>
              <w:rPr>
                <w:szCs w:val="21"/>
              </w:rPr>
            </w:pPr>
            <w:r>
              <w:rPr>
                <w:szCs w:val="21"/>
              </w:rPr>
              <w:t>2.5E+11</w:t>
            </w:r>
          </w:p>
        </w:tc>
      </w:tr>
      <w:tr w14:paraId="10572E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06C4AC24">
            <w:pPr>
              <w:adjustRightInd w:val="0"/>
              <w:snapToGrid w:val="0"/>
              <w:jc w:val="center"/>
              <w:rPr>
                <w:szCs w:val="21"/>
              </w:rPr>
            </w:pPr>
            <w:r>
              <w:rPr>
                <w:szCs w:val="21"/>
              </w:rPr>
              <w:t>2</w:t>
            </w:r>
          </w:p>
        </w:tc>
        <w:tc>
          <w:tcPr>
            <w:tcW w:w="0" w:type="auto"/>
            <w:vMerge w:val="continue"/>
            <w:vAlign w:val="center"/>
          </w:tcPr>
          <w:p w14:paraId="420C9A53">
            <w:pPr>
              <w:adjustRightInd w:val="0"/>
              <w:snapToGrid w:val="0"/>
              <w:jc w:val="center"/>
              <w:rPr>
                <w:szCs w:val="21"/>
              </w:rPr>
            </w:pPr>
          </w:p>
        </w:tc>
        <w:tc>
          <w:tcPr>
            <w:tcW w:w="0" w:type="auto"/>
            <w:vMerge w:val="continue"/>
            <w:vAlign w:val="center"/>
          </w:tcPr>
          <w:p w14:paraId="7889334C">
            <w:pPr>
              <w:adjustRightInd w:val="0"/>
              <w:snapToGrid w:val="0"/>
              <w:jc w:val="center"/>
              <w:rPr>
                <w:szCs w:val="21"/>
              </w:rPr>
            </w:pPr>
          </w:p>
        </w:tc>
        <w:tc>
          <w:tcPr>
            <w:tcW w:w="0" w:type="auto"/>
            <w:vAlign w:val="center"/>
          </w:tcPr>
          <w:p w14:paraId="4281DFF2">
            <w:pPr>
              <w:adjustRightInd w:val="0"/>
              <w:snapToGrid w:val="0"/>
              <w:jc w:val="center"/>
              <w:rPr>
                <w:szCs w:val="21"/>
              </w:rPr>
            </w:pPr>
            <w:r>
              <w:rPr>
                <w:szCs w:val="21"/>
              </w:rPr>
              <w:t>Tc-m</w:t>
            </w:r>
          </w:p>
        </w:tc>
        <w:tc>
          <w:tcPr>
            <w:tcW w:w="0" w:type="auto"/>
            <w:vAlign w:val="center"/>
          </w:tcPr>
          <w:p w14:paraId="0B793224">
            <w:pPr>
              <w:adjustRightInd w:val="0"/>
              <w:snapToGrid w:val="0"/>
              <w:jc w:val="center"/>
              <w:rPr>
                <w:szCs w:val="21"/>
              </w:rPr>
            </w:pPr>
            <w:r>
              <w:rPr>
                <w:szCs w:val="21"/>
              </w:rPr>
              <w:t>液态</w:t>
            </w:r>
          </w:p>
        </w:tc>
        <w:tc>
          <w:tcPr>
            <w:tcW w:w="0" w:type="auto"/>
            <w:vAlign w:val="center"/>
          </w:tcPr>
          <w:p w14:paraId="43853FC8">
            <w:pPr>
              <w:adjustRightInd w:val="0"/>
              <w:snapToGrid w:val="0"/>
              <w:jc w:val="center"/>
              <w:rPr>
                <w:szCs w:val="21"/>
              </w:rPr>
            </w:pPr>
            <w:r>
              <w:rPr>
                <w:szCs w:val="21"/>
              </w:rPr>
              <w:t>使用</w:t>
            </w:r>
          </w:p>
        </w:tc>
        <w:tc>
          <w:tcPr>
            <w:tcW w:w="0" w:type="auto"/>
            <w:vAlign w:val="center"/>
          </w:tcPr>
          <w:p w14:paraId="69ECB80A">
            <w:pPr>
              <w:adjustRightInd w:val="0"/>
              <w:snapToGrid w:val="0"/>
              <w:jc w:val="center"/>
              <w:rPr>
                <w:szCs w:val="21"/>
              </w:rPr>
            </w:pPr>
            <w:r>
              <w:rPr>
                <w:szCs w:val="21"/>
              </w:rPr>
              <w:t>放射性药物治疗</w:t>
            </w:r>
          </w:p>
        </w:tc>
        <w:tc>
          <w:tcPr>
            <w:tcW w:w="0" w:type="auto"/>
            <w:vAlign w:val="center"/>
          </w:tcPr>
          <w:p w14:paraId="395D566A">
            <w:pPr>
              <w:adjustRightInd w:val="0"/>
              <w:snapToGrid w:val="0"/>
              <w:jc w:val="center"/>
              <w:rPr>
                <w:szCs w:val="21"/>
              </w:rPr>
            </w:pPr>
            <w:r>
              <w:rPr>
                <w:szCs w:val="21"/>
              </w:rPr>
              <w:t>3E+7</w:t>
            </w:r>
          </w:p>
        </w:tc>
        <w:tc>
          <w:tcPr>
            <w:tcW w:w="0" w:type="auto"/>
            <w:vAlign w:val="center"/>
          </w:tcPr>
          <w:p w14:paraId="4CC8E0DF">
            <w:pPr>
              <w:adjustRightInd w:val="0"/>
              <w:snapToGrid w:val="0"/>
              <w:jc w:val="center"/>
              <w:rPr>
                <w:szCs w:val="21"/>
              </w:rPr>
            </w:pPr>
            <w:r>
              <w:rPr>
                <w:szCs w:val="21"/>
              </w:rPr>
              <w:t>3E+5</w:t>
            </w:r>
          </w:p>
        </w:tc>
        <w:tc>
          <w:tcPr>
            <w:tcW w:w="0" w:type="auto"/>
            <w:vAlign w:val="center"/>
          </w:tcPr>
          <w:p w14:paraId="5167A5F9">
            <w:pPr>
              <w:adjustRightInd w:val="0"/>
              <w:snapToGrid w:val="0"/>
              <w:jc w:val="center"/>
              <w:rPr>
                <w:szCs w:val="21"/>
              </w:rPr>
            </w:pPr>
            <w:r>
              <w:rPr>
                <w:szCs w:val="21"/>
              </w:rPr>
              <w:t>1.5E+10</w:t>
            </w:r>
          </w:p>
        </w:tc>
      </w:tr>
      <w:tr w14:paraId="0FC18B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7BB02265">
            <w:pPr>
              <w:adjustRightInd w:val="0"/>
              <w:snapToGrid w:val="0"/>
              <w:jc w:val="center"/>
              <w:rPr>
                <w:szCs w:val="21"/>
              </w:rPr>
            </w:pPr>
            <w:r>
              <w:rPr>
                <w:szCs w:val="21"/>
              </w:rPr>
              <w:t>3</w:t>
            </w:r>
          </w:p>
        </w:tc>
        <w:tc>
          <w:tcPr>
            <w:tcW w:w="0" w:type="auto"/>
            <w:vMerge w:val="restart"/>
            <w:vAlign w:val="center"/>
          </w:tcPr>
          <w:p w14:paraId="2F2476E7">
            <w:pPr>
              <w:adjustRightInd w:val="0"/>
              <w:snapToGrid w:val="0"/>
              <w:jc w:val="center"/>
              <w:rPr>
                <w:szCs w:val="21"/>
              </w:rPr>
            </w:pPr>
            <w:r>
              <w:rPr>
                <w:szCs w:val="21"/>
              </w:rPr>
              <w:t>本院区3号楼负一楼核医学科</w:t>
            </w:r>
          </w:p>
        </w:tc>
        <w:tc>
          <w:tcPr>
            <w:tcW w:w="0" w:type="auto"/>
            <w:vMerge w:val="restart"/>
            <w:vAlign w:val="center"/>
          </w:tcPr>
          <w:p w14:paraId="24F23949">
            <w:pPr>
              <w:adjustRightInd w:val="0"/>
              <w:snapToGrid w:val="0"/>
              <w:jc w:val="center"/>
              <w:rPr>
                <w:szCs w:val="21"/>
              </w:rPr>
            </w:pPr>
            <w:r>
              <w:rPr>
                <w:szCs w:val="21"/>
              </w:rPr>
              <w:t>乙级</w:t>
            </w:r>
          </w:p>
        </w:tc>
        <w:tc>
          <w:tcPr>
            <w:tcW w:w="0" w:type="auto"/>
            <w:vAlign w:val="center"/>
          </w:tcPr>
          <w:p w14:paraId="7B8C764A">
            <w:pPr>
              <w:adjustRightInd w:val="0"/>
              <w:snapToGrid w:val="0"/>
              <w:jc w:val="center"/>
              <w:rPr>
                <w:szCs w:val="21"/>
              </w:rPr>
            </w:pPr>
            <w:r>
              <w:rPr>
                <w:szCs w:val="21"/>
              </w:rPr>
              <w:t>Ra-223</w:t>
            </w:r>
          </w:p>
        </w:tc>
        <w:tc>
          <w:tcPr>
            <w:tcW w:w="0" w:type="auto"/>
            <w:vAlign w:val="center"/>
          </w:tcPr>
          <w:p w14:paraId="56A2EDBE">
            <w:pPr>
              <w:adjustRightInd w:val="0"/>
              <w:snapToGrid w:val="0"/>
              <w:jc w:val="center"/>
              <w:rPr>
                <w:szCs w:val="21"/>
              </w:rPr>
            </w:pPr>
            <w:r>
              <w:rPr>
                <w:szCs w:val="21"/>
              </w:rPr>
              <w:t>液态</w:t>
            </w:r>
          </w:p>
        </w:tc>
        <w:tc>
          <w:tcPr>
            <w:tcW w:w="0" w:type="auto"/>
            <w:vAlign w:val="center"/>
          </w:tcPr>
          <w:p w14:paraId="43876B6A">
            <w:pPr>
              <w:adjustRightInd w:val="0"/>
              <w:snapToGrid w:val="0"/>
              <w:jc w:val="center"/>
              <w:rPr>
                <w:szCs w:val="21"/>
              </w:rPr>
            </w:pPr>
            <w:r>
              <w:rPr>
                <w:szCs w:val="21"/>
              </w:rPr>
              <w:t>使用</w:t>
            </w:r>
          </w:p>
        </w:tc>
        <w:tc>
          <w:tcPr>
            <w:tcW w:w="0" w:type="auto"/>
            <w:vAlign w:val="center"/>
          </w:tcPr>
          <w:p w14:paraId="3D308FBC">
            <w:pPr>
              <w:adjustRightInd w:val="0"/>
              <w:snapToGrid w:val="0"/>
              <w:jc w:val="center"/>
              <w:rPr>
                <w:szCs w:val="21"/>
              </w:rPr>
            </w:pPr>
            <w:r>
              <w:rPr>
                <w:szCs w:val="21"/>
              </w:rPr>
              <w:t>放射性药物治疗</w:t>
            </w:r>
          </w:p>
        </w:tc>
        <w:tc>
          <w:tcPr>
            <w:tcW w:w="0" w:type="auto"/>
            <w:vAlign w:val="center"/>
          </w:tcPr>
          <w:p w14:paraId="0B06EB0E">
            <w:pPr>
              <w:adjustRightInd w:val="0"/>
              <w:snapToGrid w:val="0"/>
              <w:jc w:val="center"/>
              <w:rPr>
                <w:szCs w:val="21"/>
              </w:rPr>
            </w:pPr>
            <w:r>
              <w:rPr>
                <w:szCs w:val="21"/>
              </w:rPr>
              <w:t>7.4E+5</w:t>
            </w:r>
          </w:p>
        </w:tc>
        <w:tc>
          <w:tcPr>
            <w:tcW w:w="0" w:type="auto"/>
            <w:vAlign w:val="center"/>
          </w:tcPr>
          <w:p w14:paraId="23741DB4">
            <w:pPr>
              <w:adjustRightInd w:val="0"/>
              <w:snapToGrid w:val="0"/>
              <w:jc w:val="center"/>
              <w:rPr>
                <w:szCs w:val="21"/>
              </w:rPr>
            </w:pPr>
            <w:r>
              <w:rPr>
                <w:szCs w:val="21"/>
              </w:rPr>
              <w:t>7.4E+6</w:t>
            </w:r>
          </w:p>
        </w:tc>
        <w:tc>
          <w:tcPr>
            <w:tcW w:w="0" w:type="auto"/>
            <w:vAlign w:val="center"/>
          </w:tcPr>
          <w:p w14:paraId="38A43CE9">
            <w:pPr>
              <w:adjustRightInd w:val="0"/>
              <w:snapToGrid w:val="0"/>
              <w:jc w:val="center"/>
              <w:rPr>
                <w:szCs w:val="21"/>
              </w:rPr>
            </w:pPr>
            <w:r>
              <w:rPr>
                <w:szCs w:val="21"/>
              </w:rPr>
              <w:t>3.7E+8</w:t>
            </w:r>
          </w:p>
        </w:tc>
      </w:tr>
      <w:tr w14:paraId="70511E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0F049FE7">
            <w:pPr>
              <w:adjustRightInd w:val="0"/>
              <w:snapToGrid w:val="0"/>
              <w:jc w:val="center"/>
              <w:rPr>
                <w:szCs w:val="21"/>
              </w:rPr>
            </w:pPr>
            <w:r>
              <w:rPr>
                <w:szCs w:val="21"/>
              </w:rPr>
              <w:t>4</w:t>
            </w:r>
          </w:p>
        </w:tc>
        <w:tc>
          <w:tcPr>
            <w:tcW w:w="0" w:type="auto"/>
            <w:vMerge w:val="continue"/>
            <w:vAlign w:val="center"/>
          </w:tcPr>
          <w:p w14:paraId="3F772BFF">
            <w:pPr>
              <w:adjustRightInd w:val="0"/>
              <w:snapToGrid w:val="0"/>
              <w:jc w:val="center"/>
              <w:rPr>
                <w:szCs w:val="21"/>
              </w:rPr>
            </w:pPr>
          </w:p>
        </w:tc>
        <w:tc>
          <w:tcPr>
            <w:tcW w:w="0" w:type="auto"/>
            <w:vMerge w:val="continue"/>
            <w:vAlign w:val="center"/>
          </w:tcPr>
          <w:p w14:paraId="59DFAFA0">
            <w:pPr>
              <w:adjustRightInd w:val="0"/>
              <w:snapToGrid w:val="0"/>
              <w:jc w:val="center"/>
              <w:rPr>
                <w:szCs w:val="21"/>
              </w:rPr>
            </w:pPr>
          </w:p>
        </w:tc>
        <w:tc>
          <w:tcPr>
            <w:tcW w:w="0" w:type="auto"/>
            <w:vAlign w:val="center"/>
          </w:tcPr>
          <w:p w14:paraId="75616CBB">
            <w:pPr>
              <w:adjustRightInd w:val="0"/>
              <w:snapToGrid w:val="0"/>
              <w:jc w:val="center"/>
              <w:rPr>
                <w:szCs w:val="21"/>
              </w:rPr>
            </w:pPr>
            <w:r>
              <w:rPr>
                <w:szCs w:val="21"/>
              </w:rPr>
              <w:t>Tl-201</w:t>
            </w:r>
          </w:p>
        </w:tc>
        <w:tc>
          <w:tcPr>
            <w:tcW w:w="0" w:type="auto"/>
            <w:vAlign w:val="center"/>
          </w:tcPr>
          <w:p w14:paraId="35953972">
            <w:pPr>
              <w:adjustRightInd w:val="0"/>
              <w:snapToGrid w:val="0"/>
              <w:jc w:val="center"/>
              <w:rPr>
                <w:szCs w:val="21"/>
              </w:rPr>
            </w:pPr>
            <w:r>
              <w:rPr>
                <w:szCs w:val="21"/>
              </w:rPr>
              <w:t>液态</w:t>
            </w:r>
          </w:p>
        </w:tc>
        <w:tc>
          <w:tcPr>
            <w:tcW w:w="0" w:type="auto"/>
            <w:vAlign w:val="center"/>
          </w:tcPr>
          <w:p w14:paraId="38C99977">
            <w:pPr>
              <w:adjustRightInd w:val="0"/>
              <w:snapToGrid w:val="0"/>
              <w:jc w:val="center"/>
              <w:rPr>
                <w:szCs w:val="21"/>
              </w:rPr>
            </w:pPr>
            <w:r>
              <w:rPr>
                <w:szCs w:val="21"/>
              </w:rPr>
              <w:t>使用</w:t>
            </w:r>
          </w:p>
        </w:tc>
        <w:tc>
          <w:tcPr>
            <w:tcW w:w="0" w:type="auto"/>
            <w:vAlign w:val="center"/>
          </w:tcPr>
          <w:p w14:paraId="291135E9">
            <w:pPr>
              <w:adjustRightInd w:val="0"/>
              <w:snapToGrid w:val="0"/>
              <w:jc w:val="center"/>
              <w:rPr>
                <w:szCs w:val="21"/>
              </w:rPr>
            </w:pPr>
            <w:r>
              <w:rPr>
                <w:szCs w:val="21"/>
              </w:rPr>
              <w:t>放射性药物治疗</w:t>
            </w:r>
          </w:p>
        </w:tc>
        <w:tc>
          <w:tcPr>
            <w:tcW w:w="0" w:type="auto"/>
            <w:vAlign w:val="center"/>
          </w:tcPr>
          <w:p w14:paraId="144DF0A8">
            <w:pPr>
              <w:adjustRightInd w:val="0"/>
              <w:snapToGrid w:val="0"/>
              <w:jc w:val="center"/>
              <w:rPr>
                <w:szCs w:val="21"/>
              </w:rPr>
            </w:pPr>
            <w:r>
              <w:rPr>
                <w:szCs w:val="21"/>
              </w:rPr>
              <w:t>3.7E+8</w:t>
            </w:r>
          </w:p>
        </w:tc>
        <w:tc>
          <w:tcPr>
            <w:tcW w:w="0" w:type="auto"/>
            <w:vAlign w:val="center"/>
          </w:tcPr>
          <w:p w14:paraId="0D161BAD">
            <w:pPr>
              <w:adjustRightInd w:val="0"/>
              <w:snapToGrid w:val="0"/>
              <w:jc w:val="center"/>
              <w:rPr>
                <w:szCs w:val="21"/>
              </w:rPr>
            </w:pPr>
            <w:r>
              <w:rPr>
                <w:szCs w:val="21"/>
              </w:rPr>
              <w:t>3.7E+6</w:t>
            </w:r>
          </w:p>
        </w:tc>
        <w:tc>
          <w:tcPr>
            <w:tcW w:w="0" w:type="auto"/>
            <w:vAlign w:val="center"/>
          </w:tcPr>
          <w:p w14:paraId="243069A2">
            <w:pPr>
              <w:adjustRightInd w:val="0"/>
              <w:snapToGrid w:val="0"/>
              <w:jc w:val="center"/>
              <w:rPr>
                <w:szCs w:val="21"/>
              </w:rPr>
            </w:pPr>
            <w:r>
              <w:rPr>
                <w:szCs w:val="21"/>
              </w:rPr>
              <w:t>1.33E+11</w:t>
            </w:r>
          </w:p>
        </w:tc>
      </w:tr>
      <w:tr w14:paraId="77FCAB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7311CC59">
            <w:pPr>
              <w:adjustRightInd w:val="0"/>
              <w:snapToGrid w:val="0"/>
              <w:jc w:val="center"/>
              <w:rPr>
                <w:szCs w:val="21"/>
              </w:rPr>
            </w:pPr>
            <w:r>
              <w:rPr>
                <w:szCs w:val="21"/>
              </w:rPr>
              <w:t>5</w:t>
            </w:r>
          </w:p>
        </w:tc>
        <w:tc>
          <w:tcPr>
            <w:tcW w:w="0" w:type="auto"/>
            <w:vMerge w:val="continue"/>
            <w:vAlign w:val="center"/>
          </w:tcPr>
          <w:p w14:paraId="0CD970E4">
            <w:pPr>
              <w:adjustRightInd w:val="0"/>
              <w:snapToGrid w:val="0"/>
              <w:jc w:val="center"/>
              <w:rPr>
                <w:szCs w:val="21"/>
              </w:rPr>
            </w:pPr>
          </w:p>
        </w:tc>
        <w:tc>
          <w:tcPr>
            <w:tcW w:w="0" w:type="auto"/>
            <w:vMerge w:val="continue"/>
            <w:vAlign w:val="center"/>
          </w:tcPr>
          <w:p w14:paraId="0CCC865D">
            <w:pPr>
              <w:adjustRightInd w:val="0"/>
              <w:snapToGrid w:val="0"/>
              <w:jc w:val="center"/>
              <w:rPr>
                <w:szCs w:val="21"/>
              </w:rPr>
            </w:pPr>
          </w:p>
        </w:tc>
        <w:tc>
          <w:tcPr>
            <w:tcW w:w="0" w:type="auto"/>
            <w:vAlign w:val="center"/>
          </w:tcPr>
          <w:p w14:paraId="1D4B65B8">
            <w:pPr>
              <w:adjustRightInd w:val="0"/>
              <w:snapToGrid w:val="0"/>
              <w:jc w:val="center"/>
              <w:rPr>
                <w:szCs w:val="21"/>
              </w:rPr>
            </w:pPr>
            <w:r>
              <w:rPr>
                <w:szCs w:val="21"/>
              </w:rPr>
              <w:t>Ga-68</w:t>
            </w:r>
          </w:p>
        </w:tc>
        <w:tc>
          <w:tcPr>
            <w:tcW w:w="0" w:type="auto"/>
            <w:vAlign w:val="center"/>
          </w:tcPr>
          <w:p w14:paraId="708A05B4">
            <w:pPr>
              <w:adjustRightInd w:val="0"/>
              <w:snapToGrid w:val="0"/>
              <w:jc w:val="center"/>
              <w:rPr>
                <w:szCs w:val="21"/>
              </w:rPr>
            </w:pPr>
            <w:r>
              <w:rPr>
                <w:szCs w:val="21"/>
              </w:rPr>
              <w:t>液态</w:t>
            </w:r>
          </w:p>
        </w:tc>
        <w:tc>
          <w:tcPr>
            <w:tcW w:w="0" w:type="auto"/>
            <w:vAlign w:val="center"/>
          </w:tcPr>
          <w:p w14:paraId="7A09BDA1">
            <w:pPr>
              <w:adjustRightInd w:val="0"/>
              <w:snapToGrid w:val="0"/>
              <w:jc w:val="center"/>
              <w:rPr>
                <w:szCs w:val="21"/>
              </w:rPr>
            </w:pPr>
            <w:r>
              <w:rPr>
                <w:szCs w:val="21"/>
              </w:rPr>
              <w:t>使用</w:t>
            </w:r>
          </w:p>
        </w:tc>
        <w:tc>
          <w:tcPr>
            <w:tcW w:w="0" w:type="auto"/>
            <w:vAlign w:val="center"/>
          </w:tcPr>
          <w:p w14:paraId="62BCB169">
            <w:pPr>
              <w:adjustRightInd w:val="0"/>
              <w:snapToGrid w:val="0"/>
              <w:jc w:val="center"/>
              <w:rPr>
                <w:szCs w:val="21"/>
              </w:rPr>
            </w:pPr>
            <w:r>
              <w:rPr>
                <w:szCs w:val="21"/>
              </w:rPr>
              <w:t>放射性药物治疗</w:t>
            </w:r>
          </w:p>
        </w:tc>
        <w:tc>
          <w:tcPr>
            <w:tcW w:w="0" w:type="auto"/>
            <w:vAlign w:val="center"/>
          </w:tcPr>
          <w:p w14:paraId="7BEF06F2">
            <w:pPr>
              <w:adjustRightInd w:val="0"/>
              <w:snapToGrid w:val="0"/>
              <w:jc w:val="center"/>
              <w:rPr>
                <w:szCs w:val="21"/>
              </w:rPr>
            </w:pPr>
            <w:r>
              <w:rPr>
                <w:szCs w:val="21"/>
              </w:rPr>
              <w:t>7.4E+8</w:t>
            </w:r>
          </w:p>
        </w:tc>
        <w:tc>
          <w:tcPr>
            <w:tcW w:w="0" w:type="auto"/>
            <w:vAlign w:val="center"/>
          </w:tcPr>
          <w:p w14:paraId="1BEA7125">
            <w:pPr>
              <w:adjustRightInd w:val="0"/>
              <w:snapToGrid w:val="0"/>
              <w:jc w:val="center"/>
              <w:rPr>
                <w:szCs w:val="21"/>
              </w:rPr>
            </w:pPr>
            <w:r>
              <w:rPr>
                <w:szCs w:val="21"/>
              </w:rPr>
              <w:t>7.4E+6</w:t>
            </w:r>
          </w:p>
        </w:tc>
        <w:tc>
          <w:tcPr>
            <w:tcW w:w="0" w:type="auto"/>
            <w:vAlign w:val="center"/>
          </w:tcPr>
          <w:p w14:paraId="0C035C68">
            <w:pPr>
              <w:adjustRightInd w:val="0"/>
              <w:snapToGrid w:val="0"/>
              <w:jc w:val="center"/>
              <w:rPr>
                <w:szCs w:val="21"/>
              </w:rPr>
            </w:pPr>
            <w:r>
              <w:rPr>
                <w:szCs w:val="21"/>
              </w:rPr>
              <w:t>7.4E+11</w:t>
            </w:r>
          </w:p>
        </w:tc>
      </w:tr>
      <w:tr w14:paraId="779B6E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334FA755">
            <w:pPr>
              <w:adjustRightInd w:val="0"/>
              <w:snapToGrid w:val="0"/>
              <w:jc w:val="center"/>
              <w:rPr>
                <w:szCs w:val="21"/>
              </w:rPr>
            </w:pPr>
            <w:r>
              <w:rPr>
                <w:szCs w:val="21"/>
              </w:rPr>
              <w:t>6</w:t>
            </w:r>
          </w:p>
        </w:tc>
        <w:tc>
          <w:tcPr>
            <w:tcW w:w="0" w:type="auto"/>
            <w:vMerge w:val="continue"/>
            <w:vAlign w:val="center"/>
          </w:tcPr>
          <w:p w14:paraId="11D33BE0">
            <w:pPr>
              <w:adjustRightInd w:val="0"/>
              <w:snapToGrid w:val="0"/>
              <w:jc w:val="center"/>
              <w:rPr>
                <w:szCs w:val="21"/>
              </w:rPr>
            </w:pPr>
          </w:p>
        </w:tc>
        <w:tc>
          <w:tcPr>
            <w:tcW w:w="0" w:type="auto"/>
            <w:vMerge w:val="continue"/>
            <w:vAlign w:val="center"/>
          </w:tcPr>
          <w:p w14:paraId="6FACCB9A">
            <w:pPr>
              <w:adjustRightInd w:val="0"/>
              <w:snapToGrid w:val="0"/>
              <w:jc w:val="center"/>
              <w:rPr>
                <w:szCs w:val="21"/>
              </w:rPr>
            </w:pPr>
          </w:p>
        </w:tc>
        <w:tc>
          <w:tcPr>
            <w:tcW w:w="0" w:type="auto"/>
            <w:vAlign w:val="center"/>
          </w:tcPr>
          <w:p w14:paraId="530BBADF">
            <w:pPr>
              <w:adjustRightInd w:val="0"/>
              <w:snapToGrid w:val="0"/>
              <w:jc w:val="center"/>
              <w:rPr>
                <w:szCs w:val="21"/>
              </w:rPr>
            </w:pPr>
            <w:r>
              <w:rPr>
                <w:szCs w:val="21"/>
              </w:rPr>
              <w:t>I-131</w:t>
            </w:r>
          </w:p>
        </w:tc>
        <w:tc>
          <w:tcPr>
            <w:tcW w:w="0" w:type="auto"/>
            <w:vAlign w:val="center"/>
          </w:tcPr>
          <w:p w14:paraId="040CD475">
            <w:pPr>
              <w:adjustRightInd w:val="0"/>
              <w:snapToGrid w:val="0"/>
              <w:jc w:val="center"/>
              <w:rPr>
                <w:szCs w:val="21"/>
              </w:rPr>
            </w:pPr>
            <w:r>
              <w:rPr>
                <w:szCs w:val="21"/>
              </w:rPr>
              <w:t>液态</w:t>
            </w:r>
          </w:p>
        </w:tc>
        <w:tc>
          <w:tcPr>
            <w:tcW w:w="0" w:type="auto"/>
            <w:vAlign w:val="center"/>
          </w:tcPr>
          <w:p w14:paraId="7B3F3F01">
            <w:pPr>
              <w:adjustRightInd w:val="0"/>
              <w:snapToGrid w:val="0"/>
              <w:jc w:val="center"/>
              <w:rPr>
                <w:szCs w:val="21"/>
              </w:rPr>
            </w:pPr>
            <w:r>
              <w:rPr>
                <w:szCs w:val="21"/>
              </w:rPr>
              <w:t>使用</w:t>
            </w:r>
          </w:p>
        </w:tc>
        <w:tc>
          <w:tcPr>
            <w:tcW w:w="0" w:type="auto"/>
            <w:vAlign w:val="center"/>
          </w:tcPr>
          <w:p w14:paraId="4460F389">
            <w:pPr>
              <w:adjustRightInd w:val="0"/>
              <w:snapToGrid w:val="0"/>
              <w:jc w:val="center"/>
              <w:rPr>
                <w:szCs w:val="21"/>
              </w:rPr>
            </w:pPr>
            <w:r>
              <w:rPr>
                <w:szCs w:val="21"/>
              </w:rPr>
              <w:t>放射性药物治疗</w:t>
            </w:r>
          </w:p>
        </w:tc>
        <w:tc>
          <w:tcPr>
            <w:tcW w:w="0" w:type="auto"/>
            <w:vAlign w:val="center"/>
          </w:tcPr>
          <w:p w14:paraId="566BB771">
            <w:pPr>
              <w:adjustRightInd w:val="0"/>
              <w:snapToGrid w:val="0"/>
              <w:jc w:val="center"/>
              <w:rPr>
                <w:szCs w:val="21"/>
              </w:rPr>
            </w:pPr>
            <w:r>
              <w:rPr>
                <w:szCs w:val="21"/>
              </w:rPr>
              <w:t>2.52E+10</w:t>
            </w:r>
          </w:p>
        </w:tc>
        <w:tc>
          <w:tcPr>
            <w:tcW w:w="0" w:type="auto"/>
            <w:vAlign w:val="center"/>
          </w:tcPr>
          <w:p w14:paraId="7D6960BC">
            <w:pPr>
              <w:adjustRightInd w:val="0"/>
              <w:snapToGrid w:val="0"/>
              <w:jc w:val="center"/>
              <w:rPr>
                <w:szCs w:val="21"/>
              </w:rPr>
            </w:pPr>
            <w:r>
              <w:rPr>
                <w:szCs w:val="21"/>
              </w:rPr>
              <w:t>2.52E+8</w:t>
            </w:r>
          </w:p>
        </w:tc>
        <w:tc>
          <w:tcPr>
            <w:tcW w:w="0" w:type="auto"/>
            <w:vAlign w:val="center"/>
          </w:tcPr>
          <w:p w14:paraId="4EB101B5">
            <w:pPr>
              <w:adjustRightInd w:val="0"/>
              <w:snapToGrid w:val="0"/>
              <w:jc w:val="center"/>
              <w:rPr>
                <w:szCs w:val="21"/>
              </w:rPr>
            </w:pPr>
            <w:r>
              <w:rPr>
                <w:szCs w:val="21"/>
              </w:rPr>
              <w:t>9.06E+12</w:t>
            </w:r>
          </w:p>
        </w:tc>
      </w:tr>
      <w:tr w14:paraId="18DAEC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20F92CFE">
            <w:pPr>
              <w:adjustRightInd w:val="0"/>
              <w:snapToGrid w:val="0"/>
              <w:jc w:val="center"/>
              <w:rPr>
                <w:szCs w:val="21"/>
              </w:rPr>
            </w:pPr>
            <w:r>
              <w:rPr>
                <w:szCs w:val="21"/>
              </w:rPr>
              <w:t>7</w:t>
            </w:r>
          </w:p>
        </w:tc>
        <w:tc>
          <w:tcPr>
            <w:tcW w:w="0" w:type="auto"/>
            <w:vMerge w:val="continue"/>
            <w:vAlign w:val="center"/>
          </w:tcPr>
          <w:p w14:paraId="123FC6F2">
            <w:pPr>
              <w:adjustRightInd w:val="0"/>
              <w:snapToGrid w:val="0"/>
              <w:jc w:val="center"/>
              <w:rPr>
                <w:szCs w:val="21"/>
              </w:rPr>
            </w:pPr>
          </w:p>
        </w:tc>
        <w:tc>
          <w:tcPr>
            <w:tcW w:w="0" w:type="auto"/>
            <w:vMerge w:val="continue"/>
            <w:vAlign w:val="center"/>
          </w:tcPr>
          <w:p w14:paraId="33BFEE02">
            <w:pPr>
              <w:adjustRightInd w:val="0"/>
              <w:snapToGrid w:val="0"/>
              <w:jc w:val="center"/>
              <w:rPr>
                <w:szCs w:val="21"/>
              </w:rPr>
            </w:pPr>
          </w:p>
        </w:tc>
        <w:tc>
          <w:tcPr>
            <w:tcW w:w="0" w:type="auto"/>
            <w:vAlign w:val="center"/>
          </w:tcPr>
          <w:p w14:paraId="651A9020">
            <w:pPr>
              <w:adjustRightInd w:val="0"/>
              <w:snapToGrid w:val="0"/>
              <w:jc w:val="center"/>
              <w:rPr>
                <w:szCs w:val="21"/>
              </w:rPr>
            </w:pPr>
            <w:r>
              <w:rPr>
                <w:szCs w:val="21"/>
              </w:rPr>
              <w:t>Y-90</w:t>
            </w:r>
          </w:p>
        </w:tc>
        <w:tc>
          <w:tcPr>
            <w:tcW w:w="0" w:type="auto"/>
            <w:vAlign w:val="center"/>
          </w:tcPr>
          <w:p w14:paraId="47180DD1">
            <w:pPr>
              <w:adjustRightInd w:val="0"/>
              <w:snapToGrid w:val="0"/>
              <w:jc w:val="center"/>
              <w:rPr>
                <w:szCs w:val="21"/>
              </w:rPr>
            </w:pPr>
            <w:r>
              <w:rPr>
                <w:szCs w:val="21"/>
              </w:rPr>
              <w:t>液态</w:t>
            </w:r>
          </w:p>
        </w:tc>
        <w:tc>
          <w:tcPr>
            <w:tcW w:w="0" w:type="auto"/>
            <w:vAlign w:val="center"/>
          </w:tcPr>
          <w:p w14:paraId="00D6DDE0">
            <w:pPr>
              <w:adjustRightInd w:val="0"/>
              <w:snapToGrid w:val="0"/>
              <w:jc w:val="center"/>
              <w:rPr>
                <w:szCs w:val="21"/>
              </w:rPr>
            </w:pPr>
            <w:r>
              <w:rPr>
                <w:szCs w:val="21"/>
              </w:rPr>
              <w:t>使用</w:t>
            </w:r>
          </w:p>
        </w:tc>
        <w:tc>
          <w:tcPr>
            <w:tcW w:w="0" w:type="auto"/>
            <w:vAlign w:val="center"/>
          </w:tcPr>
          <w:p w14:paraId="4E0A90C6">
            <w:pPr>
              <w:adjustRightInd w:val="0"/>
              <w:snapToGrid w:val="0"/>
              <w:jc w:val="center"/>
              <w:rPr>
                <w:szCs w:val="21"/>
              </w:rPr>
            </w:pPr>
            <w:r>
              <w:rPr>
                <w:szCs w:val="21"/>
              </w:rPr>
              <w:t>放射性药物治疗</w:t>
            </w:r>
          </w:p>
        </w:tc>
        <w:tc>
          <w:tcPr>
            <w:tcW w:w="0" w:type="auto"/>
            <w:vAlign w:val="center"/>
          </w:tcPr>
          <w:p w14:paraId="0660D0D4">
            <w:pPr>
              <w:adjustRightInd w:val="0"/>
              <w:snapToGrid w:val="0"/>
              <w:jc w:val="center"/>
              <w:rPr>
                <w:szCs w:val="21"/>
              </w:rPr>
            </w:pPr>
            <w:r>
              <w:rPr>
                <w:szCs w:val="21"/>
              </w:rPr>
              <w:t>6E+8</w:t>
            </w:r>
          </w:p>
        </w:tc>
        <w:tc>
          <w:tcPr>
            <w:tcW w:w="0" w:type="auto"/>
            <w:vAlign w:val="center"/>
          </w:tcPr>
          <w:p w14:paraId="4B380C3D">
            <w:pPr>
              <w:adjustRightInd w:val="0"/>
              <w:snapToGrid w:val="0"/>
              <w:jc w:val="center"/>
              <w:rPr>
                <w:szCs w:val="21"/>
              </w:rPr>
            </w:pPr>
            <w:r>
              <w:rPr>
                <w:szCs w:val="21"/>
              </w:rPr>
              <w:t>6E+7</w:t>
            </w:r>
          </w:p>
        </w:tc>
        <w:tc>
          <w:tcPr>
            <w:tcW w:w="0" w:type="auto"/>
            <w:vAlign w:val="center"/>
          </w:tcPr>
          <w:p w14:paraId="403A54FB">
            <w:pPr>
              <w:adjustRightInd w:val="0"/>
              <w:snapToGrid w:val="0"/>
              <w:jc w:val="center"/>
              <w:rPr>
                <w:szCs w:val="21"/>
              </w:rPr>
            </w:pPr>
            <w:r>
              <w:rPr>
                <w:szCs w:val="21"/>
              </w:rPr>
              <w:t>3E+11</w:t>
            </w:r>
          </w:p>
        </w:tc>
      </w:tr>
      <w:tr w14:paraId="6AE154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21A98034">
            <w:pPr>
              <w:adjustRightInd w:val="0"/>
              <w:snapToGrid w:val="0"/>
              <w:jc w:val="center"/>
              <w:rPr>
                <w:szCs w:val="21"/>
              </w:rPr>
            </w:pPr>
            <w:r>
              <w:rPr>
                <w:szCs w:val="21"/>
              </w:rPr>
              <w:t>8</w:t>
            </w:r>
          </w:p>
        </w:tc>
        <w:tc>
          <w:tcPr>
            <w:tcW w:w="0" w:type="auto"/>
            <w:vMerge w:val="continue"/>
            <w:vAlign w:val="center"/>
          </w:tcPr>
          <w:p w14:paraId="7EA80003">
            <w:pPr>
              <w:adjustRightInd w:val="0"/>
              <w:snapToGrid w:val="0"/>
              <w:jc w:val="center"/>
              <w:rPr>
                <w:szCs w:val="21"/>
              </w:rPr>
            </w:pPr>
          </w:p>
        </w:tc>
        <w:tc>
          <w:tcPr>
            <w:tcW w:w="0" w:type="auto"/>
            <w:vMerge w:val="continue"/>
            <w:vAlign w:val="center"/>
          </w:tcPr>
          <w:p w14:paraId="0E156AFA">
            <w:pPr>
              <w:adjustRightInd w:val="0"/>
              <w:snapToGrid w:val="0"/>
              <w:jc w:val="center"/>
              <w:rPr>
                <w:szCs w:val="21"/>
              </w:rPr>
            </w:pPr>
          </w:p>
        </w:tc>
        <w:tc>
          <w:tcPr>
            <w:tcW w:w="0" w:type="auto"/>
            <w:vAlign w:val="center"/>
          </w:tcPr>
          <w:p w14:paraId="66B5C445">
            <w:pPr>
              <w:adjustRightInd w:val="0"/>
              <w:snapToGrid w:val="0"/>
              <w:jc w:val="center"/>
              <w:rPr>
                <w:szCs w:val="21"/>
              </w:rPr>
            </w:pPr>
            <w:r>
              <w:rPr>
                <w:szCs w:val="21"/>
              </w:rPr>
              <w:t>F-18</w:t>
            </w:r>
          </w:p>
        </w:tc>
        <w:tc>
          <w:tcPr>
            <w:tcW w:w="0" w:type="auto"/>
            <w:vAlign w:val="center"/>
          </w:tcPr>
          <w:p w14:paraId="663787E5">
            <w:pPr>
              <w:adjustRightInd w:val="0"/>
              <w:snapToGrid w:val="0"/>
              <w:jc w:val="center"/>
              <w:rPr>
                <w:szCs w:val="21"/>
              </w:rPr>
            </w:pPr>
            <w:r>
              <w:rPr>
                <w:szCs w:val="21"/>
              </w:rPr>
              <w:t>液态</w:t>
            </w:r>
          </w:p>
        </w:tc>
        <w:tc>
          <w:tcPr>
            <w:tcW w:w="0" w:type="auto"/>
            <w:vAlign w:val="center"/>
          </w:tcPr>
          <w:p w14:paraId="7B654D8E">
            <w:pPr>
              <w:adjustRightInd w:val="0"/>
              <w:snapToGrid w:val="0"/>
              <w:jc w:val="center"/>
              <w:rPr>
                <w:szCs w:val="21"/>
              </w:rPr>
            </w:pPr>
            <w:r>
              <w:rPr>
                <w:szCs w:val="21"/>
              </w:rPr>
              <w:t>使用</w:t>
            </w:r>
          </w:p>
        </w:tc>
        <w:tc>
          <w:tcPr>
            <w:tcW w:w="0" w:type="auto"/>
            <w:vAlign w:val="center"/>
          </w:tcPr>
          <w:p w14:paraId="785D39F7">
            <w:pPr>
              <w:adjustRightInd w:val="0"/>
              <w:snapToGrid w:val="0"/>
              <w:jc w:val="center"/>
              <w:rPr>
                <w:szCs w:val="21"/>
              </w:rPr>
            </w:pPr>
            <w:r>
              <w:rPr>
                <w:szCs w:val="21"/>
              </w:rPr>
              <w:t>放射性药物治疗</w:t>
            </w:r>
          </w:p>
        </w:tc>
        <w:tc>
          <w:tcPr>
            <w:tcW w:w="0" w:type="auto"/>
            <w:vAlign w:val="center"/>
          </w:tcPr>
          <w:p w14:paraId="2B85C2D3">
            <w:pPr>
              <w:adjustRightInd w:val="0"/>
              <w:snapToGrid w:val="0"/>
              <w:jc w:val="center"/>
              <w:rPr>
                <w:szCs w:val="21"/>
              </w:rPr>
            </w:pPr>
            <w:r>
              <w:rPr>
                <w:szCs w:val="21"/>
              </w:rPr>
              <w:t>1.48E+10</w:t>
            </w:r>
          </w:p>
        </w:tc>
        <w:tc>
          <w:tcPr>
            <w:tcW w:w="0" w:type="auto"/>
            <w:vAlign w:val="center"/>
          </w:tcPr>
          <w:p w14:paraId="458FE980">
            <w:pPr>
              <w:adjustRightInd w:val="0"/>
              <w:snapToGrid w:val="0"/>
              <w:jc w:val="center"/>
              <w:rPr>
                <w:szCs w:val="21"/>
              </w:rPr>
            </w:pPr>
            <w:r>
              <w:rPr>
                <w:szCs w:val="21"/>
              </w:rPr>
              <w:t>1.48E+8</w:t>
            </w:r>
          </w:p>
        </w:tc>
        <w:tc>
          <w:tcPr>
            <w:tcW w:w="0" w:type="auto"/>
            <w:vAlign w:val="center"/>
          </w:tcPr>
          <w:p w14:paraId="3CFDACF7">
            <w:pPr>
              <w:adjustRightInd w:val="0"/>
              <w:snapToGrid w:val="0"/>
              <w:jc w:val="center"/>
              <w:rPr>
                <w:szCs w:val="21"/>
              </w:rPr>
            </w:pPr>
            <w:r>
              <w:rPr>
                <w:szCs w:val="21"/>
              </w:rPr>
              <w:t>5.23E+12</w:t>
            </w:r>
          </w:p>
        </w:tc>
      </w:tr>
      <w:tr w14:paraId="0BF449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6183CFBA">
            <w:pPr>
              <w:adjustRightInd w:val="0"/>
              <w:snapToGrid w:val="0"/>
              <w:jc w:val="center"/>
              <w:rPr>
                <w:szCs w:val="21"/>
              </w:rPr>
            </w:pPr>
            <w:r>
              <w:rPr>
                <w:szCs w:val="21"/>
              </w:rPr>
              <w:t>9</w:t>
            </w:r>
          </w:p>
        </w:tc>
        <w:tc>
          <w:tcPr>
            <w:tcW w:w="0" w:type="auto"/>
            <w:vMerge w:val="continue"/>
            <w:vAlign w:val="center"/>
          </w:tcPr>
          <w:p w14:paraId="18C5054A">
            <w:pPr>
              <w:adjustRightInd w:val="0"/>
              <w:snapToGrid w:val="0"/>
              <w:jc w:val="center"/>
              <w:rPr>
                <w:szCs w:val="21"/>
              </w:rPr>
            </w:pPr>
          </w:p>
        </w:tc>
        <w:tc>
          <w:tcPr>
            <w:tcW w:w="0" w:type="auto"/>
            <w:vMerge w:val="continue"/>
            <w:vAlign w:val="center"/>
          </w:tcPr>
          <w:p w14:paraId="59689EE1">
            <w:pPr>
              <w:adjustRightInd w:val="0"/>
              <w:snapToGrid w:val="0"/>
              <w:jc w:val="center"/>
              <w:rPr>
                <w:szCs w:val="21"/>
              </w:rPr>
            </w:pPr>
          </w:p>
        </w:tc>
        <w:tc>
          <w:tcPr>
            <w:tcW w:w="0" w:type="auto"/>
            <w:vAlign w:val="center"/>
          </w:tcPr>
          <w:p w14:paraId="1DA40405">
            <w:pPr>
              <w:adjustRightInd w:val="0"/>
              <w:snapToGrid w:val="0"/>
              <w:jc w:val="center"/>
              <w:rPr>
                <w:szCs w:val="21"/>
              </w:rPr>
            </w:pPr>
            <w:r>
              <w:rPr>
                <w:szCs w:val="21"/>
              </w:rPr>
              <w:t>Sr-89</w:t>
            </w:r>
          </w:p>
        </w:tc>
        <w:tc>
          <w:tcPr>
            <w:tcW w:w="0" w:type="auto"/>
            <w:vAlign w:val="center"/>
          </w:tcPr>
          <w:p w14:paraId="383AE4F8">
            <w:pPr>
              <w:adjustRightInd w:val="0"/>
              <w:snapToGrid w:val="0"/>
              <w:jc w:val="center"/>
              <w:rPr>
                <w:szCs w:val="21"/>
              </w:rPr>
            </w:pPr>
            <w:r>
              <w:rPr>
                <w:szCs w:val="21"/>
              </w:rPr>
              <w:t>液态</w:t>
            </w:r>
          </w:p>
        </w:tc>
        <w:tc>
          <w:tcPr>
            <w:tcW w:w="0" w:type="auto"/>
            <w:vAlign w:val="center"/>
          </w:tcPr>
          <w:p w14:paraId="466EDDED">
            <w:pPr>
              <w:adjustRightInd w:val="0"/>
              <w:snapToGrid w:val="0"/>
              <w:jc w:val="center"/>
              <w:rPr>
                <w:szCs w:val="21"/>
              </w:rPr>
            </w:pPr>
            <w:r>
              <w:rPr>
                <w:szCs w:val="21"/>
              </w:rPr>
              <w:t>使用</w:t>
            </w:r>
          </w:p>
        </w:tc>
        <w:tc>
          <w:tcPr>
            <w:tcW w:w="0" w:type="auto"/>
            <w:vAlign w:val="center"/>
          </w:tcPr>
          <w:p w14:paraId="2644B327">
            <w:pPr>
              <w:adjustRightInd w:val="0"/>
              <w:snapToGrid w:val="0"/>
              <w:jc w:val="center"/>
              <w:rPr>
                <w:szCs w:val="21"/>
              </w:rPr>
            </w:pPr>
            <w:r>
              <w:rPr>
                <w:szCs w:val="21"/>
              </w:rPr>
              <w:t>放射性药物治疗</w:t>
            </w:r>
          </w:p>
        </w:tc>
        <w:tc>
          <w:tcPr>
            <w:tcW w:w="0" w:type="auto"/>
            <w:vAlign w:val="center"/>
          </w:tcPr>
          <w:p w14:paraId="3499A1C8">
            <w:pPr>
              <w:adjustRightInd w:val="0"/>
              <w:snapToGrid w:val="0"/>
              <w:jc w:val="center"/>
              <w:rPr>
                <w:szCs w:val="21"/>
              </w:rPr>
            </w:pPr>
            <w:r>
              <w:rPr>
                <w:szCs w:val="21"/>
              </w:rPr>
              <w:t>2.96E+8</w:t>
            </w:r>
          </w:p>
        </w:tc>
        <w:tc>
          <w:tcPr>
            <w:tcW w:w="0" w:type="auto"/>
            <w:vAlign w:val="center"/>
          </w:tcPr>
          <w:p w14:paraId="04E03B7E">
            <w:pPr>
              <w:adjustRightInd w:val="0"/>
              <w:snapToGrid w:val="0"/>
              <w:jc w:val="center"/>
              <w:rPr>
                <w:szCs w:val="21"/>
              </w:rPr>
            </w:pPr>
            <w:r>
              <w:rPr>
                <w:szCs w:val="21"/>
              </w:rPr>
              <w:t>2.96E+7</w:t>
            </w:r>
          </w:p>
        </w:tc>
        <w:tc>
          <w:tcPr>
            <w:tcW w:w="0" w:type="auto"/>
            <w:vAlign w:val="center"/>
          </w:tcPr>
          <w:p w14:paraId="29570F57">
            <w:pPr>
              <w:adjustRightInd w:val="0"/>
              <w:snapToGrid w:val="0"/>
              <w:jc w:val="center"/>
              <w:rPr>
                <w:szCs w:val="21"/>
              </w:rPr>
            </w:pPr>
            <w:r>
              <w:rPr>
                <w:szCs w:val="21"/>
              </w:rPr>
              <w:t>1.07E+11</w:t>
            </w:r>
          </w:p>
        </w:tc>
      </w:tr>
      <w:tr w14:paraId="4FCDB9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35BF5AF1">
            <w:pPr>
              <w:adjustRightInd w:val="0"/>
              <w:snapToGrid w:val="0"/>
              <w:jc w:val="center"/>
              <w:rPr>
                <w:szCs w:val="21"/>
              </w:rPr>
            </w:pPr>
            <w:r>
              <w:rPr>
                <w:szCs w:val="21"/>
              </w:rPr>
              <w:t>10</w:t>
            </w:r>
          </w:p>
        </w:tc>
        <w:tc>
          <w:tcPr>
            <w:tcW w:w="0" w:type="auto"/>
            <w:vMerge w:val="continue"/>
            <w:vAlign w:val="center"/>
          </w:tcPr>
          <w:p w14:paraId="0910AEDD">
            <w:pPr>
              <w:adjustRightInd w:val="0"/>
              <w:snapToGrid w:val="0"/>
              <w:jc w:val="center"/>
              <w:rPr>
                <w:szCs w:val="21"/>
              </w:rPr>
            </w:pPr>
          </w:p>
        </w:tc>
        <w:tc>
          <w:tcPr>
            <w:tcW w:w="0" w:type="auto"/>
            <w:vMerge w:val="continue"/>
            <w:vAlign w:val="center"/>
          </w:tcPr>
          <w:p w14:paraId="6011098F">
            <w:pPr>
              <w:adjustRightInd w:val="0"/>
              <w:snapToGrid w:val="0"/>
              <w:jc w:val="center"/>
              <w:rPr>
                <w:szCs w:val="21"/>
              </w:rPr>
            </w:pPr>
          </w:p>
        </w:tc>
        <w:tc>
          <w:tcPr>
            <w:tcW w:w="0" w:type="auto"/>
            <w:vAlign w:val="center"/>
          </w:tcPr>
          <w:p w14:paraId="08A89269">
            <w:pPr>
              <w:adjustRightInd w:val="0"/>
              <w:snapToGrid w:val="0"/>
              <w:jc w:val="center"/>
              <w:rPr>
                <w:szCs w:val="21"/>
              </w:rPr>
            </w:pPr>
            <w:r>
              <w:rPr>
                <w:szCs w:val="21"/>
              </w:rPr>
              <w:t>Re-188</w:t>
            </w:r>
          </w:p>
        </w:tc>
        <w:tc>
          <w:tcPr>
            <w:tcW w:w="0" w:type="auto"/>
            <w:vAlign w:val="center"/>
          </w:tcPr>
          <w:p w14:paraId="4605895B">
            <w:pPr>
              <w:adjustRightInd w:val="0"/>
              <w:snapToGrid w:val="0"/>
              <w:jc w:val="center"/>
              <w:rPr>
                <w:szCs w:val="21"/>
              </w:rPr>
            </w:pPr>
            <w:r>
              <w:rPr>
                <w:szCs w:val="21"/>
              </w:rPr>
              <w:t>液态</w:t>
            </w:r>
          </w:p>
        </w:tc>
        <w:tc>
          <w:tcPr>
            <w:tcW w:w="0" w:type="auto"/>
            <w:vAlign w:val="center"/>
          </w:tcPr>
          <w:p w14:paraId="5D733F46">
            <w:pPr>
              <w:adjustRightInd w:val="0"/>
              <w:snapToGrid w:val="0"/>
              <w:jc w:val="center"/>
              <w:rPr>
                <w:szCs w:val="21"/>
              </w:rPr>
            </w:pPr>
            <w:r>
              <w:rPr>
                <w:szCs w:val="21"/>
              </w:rPr>
              <w:t>使用</w:t>
            </w:r>
          </w:p>
        </w:tc>
        <w:tc>
          <w:tcPr>
            <w:tcW w:w="0" w:type="auto"/>
            <w:vAlign w:val="center"/>
          </w:tcPr>
          <w:p w14:paraId="294F4AC1">
            <w:pPr>
              <w:adjustRightInd w:val="0"/>
              <w:snapToGrid w:val="0"/>
              <w:jc w:val="center"/>
              <w:rPr>
                <w:szCs w:val="21"/>
              </w:rPr>
            </w:pPr>
            <w:r>
              <w:rPr>
                <w:szCs w:val="21"/>
              </w:rPr>
              <w:t>放射性药物治疗</w:t>
            </w:r>
          </w:p>
        </w:tc>
        <w:tc>
          <w:tcPr>
            <w:tcW w:w="0" w:type="auto"/>
            <w:vAlign w:val="center"/>
          </w:tcPr>
          <w:p w14:paraId="61F39E49">
            <w:pPr>
              <w:adjustRightInd w:val="0"/>
              <w:snapToGrid w:val="0"/>
              <w:jc w:val="center"/>
              <w:rPr>
                <w:szCs w:val="21"/>
              </w:rPr>
            </w:pPr>
            <w:r>
              <w:rPr>
                <w:szCs w:val="21"/>
              </w:rPr>
              <w:t>7.4E+8</w:t>
            </w:r>
          </w:p>
        </w:tc>
        <w:tc>
          <w:tcPr>
            <w:tcW w:w="0" w:type="auto"/>
            <w:vAlign w:val="center"/>
          </w:tcPr>
          <w:p w14:paraId="5A0C3DFF">
            <w:pPr>
              <w:adjustRightInd w:val="0"/>
              <w:snapToGrid w:val="0"/>
              <w:jc w:val="center"/>
              <w:rPr>
                <w:szCs w:val="21"/>
              </w:rPr>
            </w:pPr>
            <w:r>
              <w:rPr>
                <w:szCs w:val="21"/>
              </w:rPr>
              <w:t>7.4E+7</w:t>
            </w:r>
          </w:p>
        </w:tc>
        <w:tc>
          <w:tcPr>
            <w:tcW w:w="0" w:type="auto"/>
            <w:vAlign w:val="center"/>
          </w:tcPr>
          <w:p w14:paraId="22B3338F">
            <w:pPr>
              <w:adjustRightInd w:val="0"/>
              <w:snapToGrid w:val="0"/>
              <w:jc w:val="center"/>
              <w:rPr>
                <w:szCs w:val="21"/>
              </w:rPr>
            </w:pPr>
            <w:r>
              <w:rPr>
                <w:szCs w:val="21"/>
              </w:rPr>
              <w:t>2.66E+11</w:t>
            </w:r>
          </w:p>
        </w:tc>
      </w:tr>
      <w:tr w14:paraId="3CD699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2247124D">
            <w:pPr>
              <w:adjustRightInd w:val="0"/>
              <w:snapToGrid w:val="0"/>
              <w:jc w:val="center"/>
              <w:rPr>
                <w:szCs w:val="21"/>
              </w:rPr>
            </w:pPr>
            <w:r>
              <w:rPr>
                <w:szCs w:val="21"/>
              </w:rPr>
              <w:t>11</w:t>
            </w:r>
          </w:p>
        </w:tc>
        <w:tc>
          <w:tcPr>
            <w:tcW w:w="0" w:type="auto"/>
            <w:vMerge w:val="continue"/>
            <w:vAlign w:val="center"/>
          </w:tcPr>
          <w:p w14:paraId="1B95EAF8">
            <w:pPr>
              <w:adjustRightInd w:val="0"/>
              <w:snapToGrid w:val="0"/>
              <w:jc w:val="center"/>
              <w:rPr>
                <w:szCs w:val="21"/>
              </w:rPr>
            </w:pPr>
          </w:p>
        </w:tc>
        <w:tc>
          <w:tcPr>
            <w:tcW w:w="0" w:type="auto"/>
            <w:vMerge w:val="continue"/>
            <w:vAlign w:val="center"/>
          </w:tcPr>
          <w:p w14:paraId="6163DB26">
            <w:pPr>
              <w:adjustRightInd w:val="0"/>
              <w:snapToGrid w:val="0"/>
              <w:jc w:val="center"/>
              <w:rPr>
                <w:szCs w:val="21"/>
              </w:rPr>
            </w:pPr>
          </w:p>
        </w:tc>
        <w:tc>
          <w:tcPr>
            <w:tcW w:w="0" w:type="auto"/>
            <w:vAlign w:val="center"/>
          </w:tcPr>
          <w:p w14:paraId="4EDB1D57">
            <w:pPr>
              <w:adjustRightInd w:val="0"/>
              <w:snapToGrid w:val="0"/>
              <w:jc w:val="center"/>
              <w:rPr>
                <w:szCs w:val="21"/>
              </w:rPr>
            </w:pPr>
            <w:r>
              <w:rPr>
                <w:szCs w:val="21"/>
              </w:rPr>
              <w:t>I-125</w:t>
            </w:r>
          </w:p>
        </w:tc>
        <w:tc>
          <w:tcPr>
            <w:tcW w:w="0" w:type="auto"/>
            <w:vAlign w:val="center"/>
          </w:tcPr>
          <w:p w14:paraId="470178F5">
            <w:pPr>
              <w:adjustRightInd w:val="0"/>
              <w:snapToGrid w:val="0"/>
              <w:jc w:val="center"/>
              <w:rPr>
                <w:szCs w:val="21"/>
              </w:rPr>
            </w:pPr>
            <w:r>
              <w:rPr>
                <w:szCs w:val="21"/>
              </w:rPr>
              <w:t>液态</w:t>
            </w:r>
          </w:p>
        </w:tc>
        <w:tc>
          <w:tcPr>
            <w:tcW w:w="0" w:type="auto"/>
            <w:vAlign w:val="center"/>
          </w:tcPr>
          <w:p w14:paraId="1E8A2D7E">
            <w:pPr>
              <w:adjustRightInd w:val="0"/>
              <w:snapToGrid w:val="0"/>
              <w:jc w:val="center"/>
              <w:rPr>
                <w:szCs w:val="21"/>
              </w:rPr>
            </w:pPr>
            <w:r>
              <w:rPr>
                <w:szCs w:val="21"/>
              </w:rPr>
              <w:t>使用</w:t>
            </w:r>
          </w:p>
        </w:tc>
        <w:tc>
          <w:tcPr>
            <w:tcW w:w="0" w:type="auto"/>
            <w:vAlign w:val="center"/>
          </w:tcPr>
          <w:p w14:paraId="35FFF020">
            <w:pPr>
              <w:adjustRightInd w:val="0"/>
              <w:snapToGrid w:val="0"/>
              <w:jc w:val="center"/>
              <w:rPr>
                <w:szCs w:val="21"/>
              </w:rPr>
            </w:pPr>
            <w:r>
              <w:rPr>
                <w:szCs w:val="21"/>
              </w:rPr>
              <w:t>放射性药物治疗</w:t>
            </w:r>
          </w:p>
        </w:tc>
        <w:tc>
          <w:tcPr>
            <w:tcW w:w="0" w:type="auto"/>
            <w:vAlign w:val="center"/>
          </w:tcPr>
          <w:p w14:paraId="36ABBBB1">
            <w:pPr>
              <w:adjustRightInd w:val="0"/>
              <w:snapToGrid w:val="0"/>
              <w:jc w:val="center"/>
              <w:rPr>
                <w:szCs w:val="21"/>
              </w:rPr>
            </w:pPr>
            <w:r>
              <w:rPr>
                <w:szCs w:val="21"/>
              </w:rPr>
              <w:t>2.4E+8</w:t>
            </w:r>
          </w:p>
        </w:tc>
        <w:tc>
          <w:tcPr>
            <w:tcW w:w="0" w:type="auto"/>
            <w:vAlign w:val="center"/>
          </w:tcPr>
          <w:p w14:paraId="754C3463">
            <w:pPr>
              <w:adjustRightInd w:val="0"/>
              <w:snapToGrid w:val="0"/>
              <w:jc w:val="center"/>
              <w:rPr>
                <w:szCs w:val="21"/>
              </w:rPr>
            </w:pPr>
            <w:r>
              <w:rPr>
                <w:szCs w:val="21"/>
              </w:rPr>
              <w:t>2.4E+7</w:t>
            </w:r>
          </w:p>
        </w:tc>
        <w:tc>
          <w:tcPr>
            <w:tcW w:w="0" w:type="auto"/>
            <w:vAlign w:val="center"/>
          </w:tcPr>
          <w:p w14:paraId="0782B7EC">
            <w:pPr>
              <w:adjustRightInd w:val="0"/>
              <w:snapToGrid w:val="0"/>
              <w:jc w:val="center"/>
              <w:rPr>
                <w:szCs w:val="21"/>
              </w:rPr>
            </w:pPr>
            <w:r>
              <w:rPr>
                <w:szCs w:val="21"/>
              </w:rPr>
              <w:t>1.2E+12</w:t>
            </w:r>
          </w:p>
        </w:tc>
      </w:tr>
      <w:tr w14:paraId="6CA78EB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0FC1EECA">
            <w:pPr>
              <w:adjustRightInd w:val="0"/>
              <w:snapToGrid w:val="0"/>
              <w:jc w:val="center"/>
              <w:rPr>
                <w:szCs w:val="21"/>
              </w:rPr>
            </w:pPr>
            <w:r>
              <w:rPr>
                <w:szCs w:val="21"/>
              </w:rPr>
              <w:t>12</w:t>
            </w:r>
          </w:p>
        </w:tc>
        <w:tc>
          <w:tcPr>
            <w:tcW w:w="0" w:type="auto"/>
            <w:vMerge w:val="continue"/>
            <w:vAlign w:val="center"/>
          </w:tcPr>
          <w:p w14:paraId="1DF27A40">
            <w:pPr>
              <w:jc w:val="center"/>
              <w:rPr>
                <w:szCs w:val="21"/>
              </w:rPr>
            </w:pPr>
          </w:p>
        </w:tc>
        <w:tc>
          <w:tcPr>
            <w:tcW w:w="0" w:type="auto"/>
            <w:vMerge w:val="continue"/>
            <w:vAlign w:val="center"/>
          </w:tcPr>
          <w:p w14:paraId="7A48ABEF">
            <w:pPr>
              <w:jc w:val="center"/>
              <w:rPr>
                <w:szCs w:val="21"/>
              </w:rPr>
            </w:pPr>
          </w:p>
        </w:tc>
        <w:tc>
          <w:tcPr>
            <w:tcW w:w="0" w:type="auto"/>
            <w:vAlign w:val="center"/>
          </w:tcPr>
          <w:p w14:paraId="50F8E2FD">
            <w:pPr>
              <w:adjustRightInd w:val="0"/>
              <w:snapToGrid w:val="0"/>
              <w:jc w:val="center"/>
              <w:rPr>
                <w:szCs w:val="21"/>
              </w:rPr>
            </w:pPr>
            <w:r>
              <w:rPr>
                <w:szCs w:val="21"/>
              </w:rPr>
              <w:t>P-32</w:t>
            </w:r>
          </w:p>
        </w:tc>
        <w:tc>
          <w:tcPr>
            <w:tcW w:w="0" w:type="auto"/>
            <w:vAlign w:val="center"/>
          </w:tcPr>
          <w:p w14:paraId="7728E4CA">
            <w:pPr>
              <w:jc w:val="center"/>
              <w:rPr>
                <w:szCs w:val="21"/>
              </w:rPr>
            </w:pPr>
            <w:r>
              <w:rPr>
                <w:szCs w:val="21"/>
              </w:rPr>
              <w:t>液态</w:t>
            </w:r>
          </w:p>
        </w:tc>
        <w:tc>
          <w:tcPr>
            <w:tcW w:w="0" w:type="auto"/>
            <w:vAlign w:val="center"/>
          </w:tcPr>
          <w:p w14:paraId="76DE1443">
            <w:pPr>
              <w:jc w:val="center"/>
              <w:rPr>
                <w:szCs w:val="21"/>
              </w:rPr>
            </w:pPr>
            <w:r>
              <w:rPr>
                <w:szCs w:val="21"/>
              </w:rPr>
              <w:t>使用</w:t>
            </w:r>
          </w:p>
        </w:tc>
        <w:tc>
          <w:tcPr>
            <w:tcW w:w="0" w:type="auto"/>
            <w:vAlign w:val="center"/>
          </w:tcPr>
          <w:p w14:paraId="40BC4A59">
            <w:pPr>
              <w:jc w:val="center"/>
              <w:rPr>
                <w:szCs w:val="21"/>
              </w:rPr>
            </w:pPr>
            <w:r>
              <w:rPr>
                <w:szCs w:val="21"/>
              </w:rPr>
              <w:t>放射性药物治疗</w:t>
            </w:r>
          </w:p>
        </w:tc>
        <w:tc>
          <w:tcPr>
            <w:tcW w:w="0" w:type="auto"/>
            <w:vAlign w:val="center"/>
          </w:tcPr>
          <w:p w14:paraId="127D037D">
            <w:pPr>
              <w:jc w:val="center"/>
              <w:rPr>
                <w:szCs w:val="21"/>
              </w:rPr>
            </w:pPr>
            <w:r>
              <w:rPr>
                <w:szCs w:val="21"/>
              </w:rPr>
              <w:t>3.7E+8</w:t>
            </w:r>
          </w:p>
        </w:tc>
        <w:tc>
          <w:tcPr>
            <w:tcW w:w="0" w:type="auto"/>
            <w:vAlign w:val="center"/>
          </w:tcPr>
          <w:p w14:paraId="60FB8D01">
            <w:pPr>
              <w:jc w:val="center"/>
              <w:rPr>
                <w:szCs w:val="21"/>
              </w:rPr>
            </w:pPr>
            <w:r>
              <w:rPr>
                <w:szCs w:val="21"/>
              </w:rPr>
              <w:t>3.7E+7</w:t>
            </w:r>
          </w:p>
        </w:tc>
        <w:tc>
          <w:tcPr>
            <w:tcW w:w="0" w:type="auto"/>
            <w:vAlign w:val="center"/>
          </w:tcPr>
          <w:p w14:paraId="2D5D3ADA">
            <w:pPr>
              <w:jc w:val="center"/>
              <w:rPr>
                <w:szCs w:val="21"/>
              </w:rPr>
            </w:pPr>
            <w:r>
              <w:rPr>
                <w:szCs w:val="21"/>
              </w:rPr>
              <w:t>1.33E+11</w:t>
            </w:r>
          </w:p>
        </w:tc>
      </w:tr>
      <w:tr w14:paraId="07F6DF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731AF44B">
            <w:pPr>
              <w:adjustRightInd w:val="0"/>
              <w:snapToGrid w:val="0"/>
              <w:jc w:val="center"/>
              <w:rPr>
                <w:szCs w:val="21"/>
              </w:rPr>
            </w:pPr>
            <w:r>
              <w:rPr>
                <w:szCs w:val="21"/>
              </w:rPr>
              <w:t>13</w:t>
            </w:r>
          </w:p>
        </w:tc>
        <w:tc>
          <w:tcPr>
            <w:tcW w:w="0" w:type="auto"/>
            <w:vMerge w:val="continue"/>
            <w:vAlign w:val="center"/>
          </w:tcPr>
          <w:p w14:paraId="6C1ADE26">
            <w:pPr>
              <w:jc w:val="center"/>
              <w:rPr>
                <w:szCs w:val="21"/>
              </w:rPr>
            </w:pPr>
          </w:p>
        </w:tc>
        <w:tc>
          <w:tcPr>
            <w:tcW w:w="0" w:type="auto"/>
            <w:vMerge w:val="continue"/>
            <w:vAlign w:val="center"/>
          </w:tcPr>
          <w:p w14:paraId="5DC95037">
            <w:pPr>
              <w:jc w:val="center"/>
              <w:rPr>
                <w:szCs w:val="21"/>
              </w:rPr>
            </w:pPr>
          </w:p>
        </w:tc>
        <w:tc>
          <w:tcPr>
            <w:tcW w:w="0" w:type="auto"/>
            <w:vAlign w:val="center"/>
          </w:tcPr>
          <w:p w14:paraId="0F1723ED">
            <w:pPr>
              <w:adjustRightInd w:val="0"/>
              <w:snapToGrid w:val="0"/>
              <w:jc w:val="center"/>
              <w:rPr>
                <w:szCs w:val="21"/>
              </w:rPr>
            </w:pPr>
            <w:r>
              <w:rPr>
                <w:szCs w:val="21"/>
              </w:rPr>
              <w:t>I-125（粒子源）</w:t>
            </w:r>
          </w:p>
        </w:tc>
        <w:tc>
          <w:tcPr>
            <w:tcW w:w="0" w:type="auto"/>
            <w:vAlign w:val="center"/>
          </w:tcPr>
          <w:p w14:paraId="05C9FBB1">
            <w:pPr>
              <w:jc w:val="center"/>
              <w:rPr>
                <w:szCs w:val="21"/>
              </w:rPr>
            </w:pPr>
            <w:r>
              <w:rPr>
                <w:szCs w:val="21"/>
              </w:rPr>
              <w:t>液态</w:t>
            </w:r>
          </w:p>
        </w:tc>
        <w:tc>
          <w:tcPr>
            <w:tcW w:w="0" w:type="auto"/>
            <w:vAlign w:val="center"/>
          </w:tcPr>
          <w:p w14:paraId="30C95872">
            <w:pPr>
              <w:jc w:val="center"/>
              <w:rPr>
                <w:szCs w:val="21"/>
              </w:rPr>
            </w:pPr>
            <w:r>
              <w:rPr>
                <w:szCs w:val="21"/>
              </w:rPr>
              <w:t>使用</w:t>
            </w:r>
          </w:p>
        </w:tc>
        <w:tc>
          <w:tcPr>
            <w:tcW w:w="0" w:type="auto"/>
            <w:vAlign w:val="center"/>
          </w:tcPr>
          <w:p w14:paraId="3752C829">
            <w:pPr>
              <w:jc w:val="center"/>
              <w:rPr>
                <w:szCs w:val="21"/>
              </w:rPr>
            </w:pPr>
            <w:r>
              <w:rPr>
                <w:szCs w:val="21"/>
              </w:rPr>
              <w:t>放射性药物治疗</w:t>
            </w:r>
          </w:p>
        </w:tc>
        <w:tc>
          <w:tcPr>
            <w:tcW w:w="0" w:type="auto"/>
            <w:vAlign w:val="center"/>
          </w:tcPr>
          <w:p w14:paraId="7DD58FF4">
            <w:pPr>
              <w:jc w:val="center"/>
              <w:rPr>
                <w:szCs w:val="21"/>
              </w:rPr>
            </w:pPr>
            <w:r>
              <w:rPr>
                <w:szCs w:val="21"/>
              </w:rPr>
              <w:t>4.44E+9</w:t>
            </w:r>
          </w:p>
        </w:tc>
        <w:tc>
          <w:tcPr>
            <w:tcW w:w="0" w:type="auto"/>
            <w:vAlign w:val="center"/>
          </w:tcPr>
          <w:p w14:paraId="0500734A">
            <w:pPr>
              <w:jc w:val="center"/>
              <w:rPr>
                <w:szCs w:val="21"/>
              </w:rPr>
            </w:pPr>
            <w:r>
              <w:rPr>
                <w:szCs w:val="21"/>
              </w:rPr>
              <w:t>4.44E+8</w:t>
            </w:r>
          </w:p>
        </w:tc>
        <w:tc>
          <w:tcPr>
            <w:tcW w:w="0" w:type="auto"/>
            <w:vAlign w:val="center"/>
          </w:tcPr>
          <w:p w14:paraId="7D5383DE">
            <w:pPr>
              <w:jc w:val="center"/>
              <w:rPr>
                <w:szCs w:val="21"/>
              </w:rPr>
            </w:pPr>
            <w:r>
              <w:rPr>
                <w:szCs w:val="21"/>
              </w:rPr>
              <w:t>8.88E+11</w:t>
            </w:r>
          </w:p>
        </w:tc>
      </w:tr>
      <w:tr w14:paraId="1F6487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24E425F1">
            <w:pPr>
              <w:adjustRightInd w:val="0"/>
              <w:snapToGrid w:val="0"/>
              <w:jc w:val="center"/>
              <w:rPr>
                <w:szCs w:val="21"/>
              </w:rPr>
            </w:pPr>
            <w:r>
              <w:rPr>
                <w:szCs w:val="21"/>
              </w:rPr>
              <w:t>14</w:t>
            </w:r>
          </w:p>
        </w:tc>
        <w:tc>
          <w:tcPr>
            <w:tcW w:w="0" w:type="auto"/>
            <w:vMerge w:val="continue"/>
            <w:vAlign w:val="center"/>
          </w:tcPr>
          <w:p w14:paraId="5F904DA4">
            <w:pPr>
              <w:jc w:val="center"/>
              <w:rPr>
                <w:szCs w:val="21"/>
              </w:rPr>
            </w:pPr>
          </w:p>
        </w:tc>
        <w:tc>
          <w:tcPr>
            <w:tcW w:w="0" w:type="auto"/>
            <w:vMerge w:val="continue"/>
            <w:vAlign w:val="center"/>
          </w:tcPr>
          <w:p w14:paraId="3DFF642B">
            <w:pPr>
              <w:jc w:val="center"/>
              <w:rPr>
                <w:szCs w:val="21"/>
              </w:rPr>
            </w:pPr>
          </w:p>
        </w:tc>
        <w:tc>
          <w:tcPr>
            <w:tcW w:w="0" w:type="auto"/>
            <w:vAlign w:val="center"/>
          </w:tcPr>
          <w:p w14:paraId="09B2AC6D">
            <w:pPr>
              <w:adjustRightInd w:val="0"/>
              <w:snapToGrid w:val="0"/>
              <w:jc w:val="center"/>
              <w:rPr>
                <w:szCs w:val="21"/>
              </w:rPr>
            </w:pPr>
            <w:r>
              <w:rPr>
                <w:szCs w:val="21"/>
              </w:rPr>
              <w:t>Lu-177</w:t>
            </w:r>
          </w:p>
        </w:tc>
        <w:tc>
          <w:tcPr>
            <w:tcW w:w="0" w:type="auto"/>
            <w:vAlign w:val="center"/>
          </w:tcPr>
          <w:p w14:paraId="268D8D2B">
            <w:pPr>
              <w:jc w:val="center"/>
              <w:rPr>
                <w:szCs w:val="21"/>
              </w:rPr>
            </w:pPr>
            <w:r>
              <w:rPr>
                <w:szCs w:val="21"/>
              </w:rPr>
              <w:t>液态</w:t>
            </w:r>
          </w:p>
        </w:tc>
        <w:tc>
          <w:tcPr>
            <w:tcW w:w="0" w:type="auto"/>
            <w:vAlign w:val="center"/>
          </w:tcPr>
          <w:p w14:paraId="1F6D6D9C">
            <w:pPr>
              <w:jc w:val="center"/>
              <w:rPr>
                <w:szCs w:val="21"/>
              </w:rPr>
            </w:pPr>
            <w:r>
              <w:rPr>
                <w:szCs w:val="21"/>
              </w:rPr>
              <w:t>使用</w:t>
            </w:r>
          </w:p>
        </w:tc>
        <w:tc>
          <w:tcPr>
            <w:tcW w:w="0" w:type="auto"/>
            <w:vAlign w:val="center"/>
          </w:tcPr>
          <w:p w14:paraId="4412BBFC">
            <w:pPr>
              <w:jc w:val="center"/>
              <w:rPr>
                <w:szCs w:val="21"/>
              </w:rPr>
            </w:pPr>
            <w:r>
              <w:rPr>
                <w:szCs w:val="21"/>
              </w:rPr>
              <w:t>放射性药物治疗</w:t>
            </w:r>
          </w:p>
        </w:tc>
        <w:tc>
          <w:tcPr>
            <w:tcW w:w="0" w:type="auto"/>
            <w:vAlign w:val="center"/>
          </w:tcPr>
          <w:p w14:paraId="1DC282DF">
            <w:pPr>
              <w:jc w:val="center"/>
              <w:rPr>
                <w:szCs w:val="21"/>
              </w:rPr>
            </w:pPr>
            <w:r>
              <w:rPr>
                <w:szCs w:val="21"/>
              </w:rPr>
              <w:t>1.48E+10</w:t>
            </w:r>
          </w:p>
        </w:tc>
        <w:tc>
          <w:tcPr>
            <w:tcW w:w="0" w:type="auto"/>
            <w:vAlign w:val="center"/>
          </w:tcPr>
          <w:p w14:paraId="4A237410">
            <w:pPr>
              <w:jc w:val="center"/>
              <w:rPr>
                <w:szCs w:val="21"/>
              </w:rPr>
            </w:pPr>
            <w:r>
              <w:rPr>
                <w:szCs w:val="21"/>
              </w:rPr>
              <w:t>1.48E+9</w:t>
            </w:r>
          </w:p>
        </w:tc>
        <w:tc>
          <w:tcPr>
            <w:tcW w:w="0" w:type="auto"/>
            <w:vAlign w:val="center"/>
          </w:tcPr>
          <w:p w14:paraId="4D28557D">
            <w:pPr>
              <w:jc w:val="center"/>
              <w:rPr>
                <w:szCs w:val="21"/>
              </w:rPr>
            </w:pPr>
            <w:r>
              <w:rPr>
                <w:szCs w:val="21"/>
              </w:rPr>
              <w:t>3.7E+11</w:t>
            </w:r>
          </w:p>
        </w:tc>
      </w:tr>
      <w:tr w14:paraId="3B76E8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0" w:type="auto"/>
            <w:vAlign w:val="center"/>
          </w:tcPr>
          <w:p w14:paraId="6EB9E8A8">
            <w:pPr>
              <w:adjustRightInd w:val="0"/>
              <w:snapToGrid w:val="0"/>
              <w:jc w:val="center"/>
              <w:rPr>
                <w:szCs w:val="21"/>
              </w:rPr>
            </w:pPr>
            <w:r>
              <w:rPr>
                <w:szCs w:val="21"/>
              </w:rPr>
              <w:t>15</w:t>
            </w:r>
          </w:p>
        </w:tc>
        <w:tc>
          <w:tcPr>
            <w:tcW w:w="0" w:type="auto"/>
            <w:vMerge w:val="continue"/>
            <w:tcBorders>
              <w:bottom w:val="single" w:color="auto" w:sz="4" w:space="0"/>
            </w:tcBorders>
            <w:vAlign w:val="center"/>
          </w:tcPr>
          <w:p w14:paraId="6D1F6F89">
            <w:pPr>
              <w:jc w:val="center"/>
              <w:rPr>
                <w:szCs w:val="21"/>
              </w:rPr>
            </w:pPr>
          </w:p>
        </w:tc>
        <w:tc>
          <w:tcPr>
            <w:tcW w:w="0" w:type="auto"/>
            <w:vMerge w:val="continue"/>
            <w:tcBorders>
              <w:bottom w:val="single" w:color="auto" w:sz="4" w:space="0"/>
            </w:tcBorders>
            <w:vAlign w:val="center"/>
          </w:tcPr>
          <w:p w14:paraId="6A06DA5F">
            <w:pPr>
              <w:jc w:val="center"/>
              <w:rPr>
                <w:szCs w:val="21"/>
              </w:rPr>
            </w:pPr>
          </w:p>
        </w:tc>
        <w:tc>
          <w:tcPr>
            <w:tcW w:w="0" w:type="auto"/>
            <w:tcBorders>
              <w:bottom w:val="single" w:color="auto" w:sz="4" w:space="0"/>
            </w:tcBorders>
            <w:vAlign w:val="center"/>
          </w:tcPr>
          <w:p w14:paraId="23F4553E">
            <w:pPr>
              <w:adjustRightInd w:val="0"/>
              <w:snapToGrid w:val="0"/>
              <w:jc w:val="center"/>
              <w:rPr>
                <w:szCs w:val="21"/>
              </w:rPr>
            </w:pPr>
            <w:r>
              <w:rPr>
                <w:szCs w:val="21"/>
              </w:rPr>
              <w:t>Tc-99m</w:t>
            </w:r>
          </w:p>
        </w:tc>
        <w:tc>
          <w:tcPr>
            <w:tcW w:w="0" w:type="auto"/>
            <w:tcBorders>
              <w:bottom w:val="single" w:color="auto" w:sz="4" w:space="0"/>
            </w:tcBorders>
            <w:vAlign w:val="center"/>
          </w:tcPr>
          <w:p w14:paraId="6F76E01F">
            <w:pPr>
              <w:jc w:val="center"/>
              <w:rPr>
                <w:szCs w:val="21"/>
              </w:rPr>
            </w:pPr>
            <w:r>
              <w:rPr>
                <w:szCs w:val="21"/>
              </w:rPr>
              <w:t>液态</w:t>
            </w:r>
          </w:p>
        </w:tc>
        <w:tc>
          <w:tcPr>
            <w:tcW w:w="0" w:type="auto"/>
            <w:tcBorders>
              <w:bottom w:val="single" w:color="auto" w:sz="4" w:space="0"/>
            </w:tcBorders>
            <w:vAlign w:val="center"/>
          </w:tcPr>
          <w:p w14:paraId="3E80F2BB">
            <w:pPr>
              <w:jc w:val="center"/>
              <w:rPr>
                <w:szCs w:val="21"/>
              </w:rPr>
            </w:pPr>
            <w:r>
              <w:rPr>
                <w:szCs w:val="21"/>
              </w:rPr>
              <w:t>使用</w:t>
            </w:r>
          </w:p>
        </w:tc>
        <w:tc>
          <w:tcPr>
            <w:tcW w:w="0" w:type="auto"/>
            <w:tcBorders>
              <w:bottom w:val="single" w:color="auto" w:sz="4" w:space="0"/>
            </w:tcBorders>
            <w:vAlign w:val="center"/>
          </w:tcPr>
          <w:p w14:paraId="73ECD84E">
            <w:pPr>
              <w:jc w:val="center"/>
              <w:rPr>
                <w:szCs w:val="21"/>
              </w:rPr>
            </w:pPr>
            <w:r>
              <w:rPr>
                <w:szCs w:val="21"/>
              </w:rPr>
              <w:t>放射性药物治疗</w:t>
            </w:r>
          </w:p>
        </w:tc>
        <w:tc>
          <w:tcPr>
            <w:tcW w:w="0" w:type="auto"/>
            <w:tcBorders>
              <w:bottom w:val="single" w:color="auto" w:sz="4" w:space="0"/>
            </w:tcBorders>
            <w:vAlign w:val="center"/>
          </w:tcPr>
          <w:p w14:paraId="60332983">
            <w:pPr>
              <w:jc w:val="center"/>
              <w:rPr>
                <w:szCs w:val="21"/>
              </w:rPr>
            </w:pPr>
            <w:r>
              <w:rPr>
                <w:szCs w:val="21"/>
              </w:rPr>
              <w:t>2.31E+10</w:t>
            </w:r>
          </w:p>
        </w:tc>
        <w:tc>
          <w:tcPr>
            <w:tcW w:w="0" w:type="auto"/>
            <w:tcBorders>
              <w:bottom w:val="single" w:color="auto" w:sz="4" w:space="0"/>
            </w:tcBorders>
            <w:vAlign w:val="center"/>
          </w:tcPr>
          <w:p w14:paraId="25CC6620">
            <w:pPr>
              <w:jc w:val="center"/>
              <w:rPr>
                <w:szCs w:val="21"/>
              </w:rPr>
            </w:pPr>
            <w:r>
              <w:rPr>
                <w:szCs w:val="21"/>
              </w:rPr>
              <w:t>2.31E+8</w:t>
            </w:r>
          </w:p>
        </w:tc>
        <w:tc>
          <w:tcPr>
            <w:tcW w:w="0" w:type="auto"/>
            <w:tcBorders>
              <w:bottom w:val="single" w:color="auto" w:sz="4" w:space="0"/>
            </w:tcBorders>
            <w:vAlign w:val="center"/>
          </w:tcPr>
          <w:p w14:paraId="2D76A3CE">
            <w:pPr>
              <w:jc w:val="center"/>
              <w:rPr>
                <w:szCs w:val="21"/>
              </w:rPr>
            </w:pPr>
            <w:r>
              <w:rPr>
                <w:szCs w:val="21"/>
              </w:rPr>
              <w:t>8.32E+12</w:t>
            </w:r>
          </w:p>
        </w:tc>
      </w:tr>
    </w:tbl>
    <w:p w14:paraId="740EE3C6">
      <w:pPr>
        <w:jc w:val="center"/>
        <w:rPr>
          <w:color w:val="000000"/>
          <w:kern w:val="0"/>
          <w:szCs w:val="21"/>
        </w:rPr>
      </w:pPr>
    </w:p>
    <w:p w14:paraId="4F295E96">
      <w:pPr>
        <w:pStyle w:val="15"/>
        <w:keepNext/>
        <w:rPr>
          <w:color w:val="000000"/>
        </w:rPr>
      </w:pPr>
      <w:bookmarkStart w:id="198" w:name="_Ref7169495"/>
      <w:bookmarkStart w:id="199" w:name="_Toc74750872"/>
      <w:bookmarkStart w:id="200" w:name="_Toc34738361"/>
      <w:bookmarkStart w:id="201" w:name="_Toc94259310"/>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1</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3</w:t>
      </w:r>
      <w:r>
        <w:rPr>
          <w:color w:val="000000"/>
        </w:rPr>
        <w:fldChar w:fldCharType="end"/>
      </w:r>
      <w:bookmarkEnd w:id="198"/>
      <w:r>
        <w:rPr>
          <w:color w:val="000000"/>
        </w:rPr>
        <w:t>医院已获许可使用的射线装置明细</w:t>
      </w:r>
      <w:bookmarkEnd w:id="199"/>
      <w:bookmarkEnd w:id="200"/>
      <w:bookmarkEnd w:id="201"/>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310"/>
        <w:gridCol w:w="1416"/>
        <w:gridCol w:w="1735"/>
        <w:gridCol w:w="327"/>
        <w:gridCol w:w="450"/>
        <w:gridCol w:w="890"/>
        <w:gridCol w:w="1639"/>
        <w:gridCol w:w="2474"/>
        <w:gridCol w:w="1722"/>
        <w:gridCol w:w="1436"/>
        <w:gridCol w:w="1589"/>
      </w:tblGrid>
      <w:tr w14:paraId="30E75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tblHeader/>
          <w:jc w:val="center"/>
        </w:trPr>
        <w:tc>
          <w:tcPr>
            <w:tcW w:w="0" w:type="auto"/>
            <w:vAlign w:val="center"/>
          </w:tcPr>
          <w:p w14:paraId="33D35917">
            <w:pPr>
              <w:widowControl/>
              <w:jc w:val="center"/>
              <w:textAlignment w:val="center"/>
              <w:rPr>
                <w:b/>
                <w:color w:val="000000"/>
                <w:szCs w:val="21"/>
              </w:rPr>
            </w:pPr>
            <w:r>
              <w:rPr>
                <w:b/>
                <w:color w:val="000000"/>
                <w:kern w:val="0"/>
                <w:szCs w:val="21"/>
                <w:lang w:bidi="ar"/>
              </w:rPr>
              <w:t>序号</w:t>
            </w:r>
          </w:p>
        </w:tc>
        <w:tc>
          <w:tcPr>
            <w:tcW w:w="0" w:type="auto"/>
            <w:vAlign w:val="center"/>
          </w:tcPr>
          <w:p w14:paraId="4E0DA8D6">
            <w:pPr>
              <w:widowControl/>
              <w:jc w:val="center"/>
              <w:textAlignment w:val="center"/>
              <w:rPr>
                <w:b/>
                <w:color w:val="000000"/>
                <w:szCs w:val="21"/>
              </w:rPr>
            </w:pPr>
            <w:r>
              <w:rPr>
                <w:b/>
                <w:color w:val="000000"/>
                <w:szCs w:val="21"/>
              </w:rPr>
              <w:t>辐射活动场所名称</w:t>
            </w:r>
          </w:p>
        </w:tc>
        <w:tc>
          <w:tcPr>
            <w:tcW w:w="0" w:type="auto"/>
            <w:vAlign w:val="center"/>
          </w:tcPr>
          <w:p w14:paraId="7D12FFA4">
            <w:pPr>
              <w:widowControl/>
              <w:jc w:val="center"/>
              <w:textAlignment w:val="center"/>
              <w:rPr>
                <w:b/>
                <w:color w:val="000000"/>
                <w:szCs w:val="21"/>
              </w:rPr>
            </w:pPr>
            <w:r>
              <w:rPr>
                <w:b/>
                <w:color w:val="000000"/>
                <w:szCs w:val="21"/>
              </w:rPr>
              <w:t>装置分类名称</w:t>
            </w:r>
          </w:p>
        </w:tc>
        <w:tc>
          <w:tcPr>
            <w:tcW w:w="0" w:type="auto"/>
            <w:vAlign w:val="center"/>
          </w:tcPr>
          <w:p w14:paraId="5CE637FA">
            <w:pPr>
              <w:widowControl/>
              <w:jc w:val="center"/>
              <w:textAlignment w:val="center"/>
              <w:rPr>
                <w:b/>
                <w:color w:val="000000"/>
                <w:szCs w:val="21"/>
              </w:rPr>
            </w:pPr>
            <w:r>
              <w:rPr>
                <w:b/>
                <w:color w:val="000000"/>
                <w:szCs w:val="21"/>
              </w:rPr>
              <w:t>类别</w:t>
            </w:r>
          </w:p>
        </w:tc>
        <w:tc>
          <w:tcPr>
            <w:tcW w:w="0" w:type="auto"/>
            <w:vAlign w:val="center"/>
          </w:tcPr>
          <w:p w14:paraId="06FE6656">
            <w:pPr>
              <w:widowControl/>
              <w:jc w:val="center"/>
              <w:textAlignment w:val="center"/>
              <w:rPr>
                <w:b/>
                <w:color w:val="000000"/>
                <w:szCs w:val="21"/>
              </w:rPr>
            </w:pPr>
            <w:r>
              <w:rPr>
                <w:b/>
                <w:color w:val="000000"/>
                <w:szCs w:val="21"/>
              </w:rPr>
              <w:t>活动种类</w:t>
            </w:r>
          </w:p>
        </w:tc>
        <w:tc>
          <w:tcPr>
            <w:tcW w:w="0" w:type="auto"/>
            <w:vAlign w:val="center"/>
          </w:tcPr>
          <w:p w14:paraId="68A8B606">
            <w:pPr>
              <w:widowControl/>
              <w:jc w:val="center"/>
              <w:textAlignment w:val="center"/>
              <w:rPr>
                <w:b/>
                <w:color w:val="000000"/>
                <w:kern w:val="0"/>
                <w:szCs w:val="21"/>
                <w:lang w:bidi="ar"/>
              </w:rPr>
            </w:pPr>
            <w:r>
              <w:rPr>
                <w:b/>
                <w:color w:val="000000"/>
                <w:kern w:val="0"/>
                <w:szCs w:val="21"/>
                <w:lang w:bidi="ar"/>
              </w:rPr>
              <w:t>数量/台（套）</w:t>
            </w:r>
          </w:p>
        </w:tc>
        <w:tc>
          <w:tcPr>
            <w:tcW w:w="0" w:type="auto"/>
            <w:vAlign w:val="center"/>
          </w:tcPr>
          <w:p w14:paraId="2B5BFAA5">
            <w:pPr>
              <w:widowControl/>
              <w:jc w:val="center"/>
              <w:textAlignment w:val="center"/>
              <w:rPr>
                <w:b/>
                <w:color w:val="000000"/>
                <w:szCs w:val="21"/>
              </w:rPr>
            </w:pPr>
            <w:r>
              <w:rPr>
                <w:b/>
                <w:color w:val="000000"/>
                <w:szCs w:val="21"/>
              </w:rPr>
              <w:t>装置名称</w:t>
            </w:r>
          </w:p>
        </w:tc>
        <w:tc>
          <w:tcPr>
            <w:tcW w:w="0" w:type="auto"/>
            <w:vAlign w:val="center"/>
          </w:tcPr>
          <w:p w14:paraId="02AB4617">
            <w:pPr>
              <w:widowControl/>
              <w:jc w:val="center"/>
              <w:textAlignment w:val="center"/>
              <w:rPr>
                <w:b/>
                <w:color w:val="000000"/>
                <w:szCs w:val="21"/>
              </w:rPr>
            </w:pPr>
            <w:r>
              <w:rPr>
                <w:b/>
                <w:color w:val="000000"/>
                <w:szCs w:val="21"/>
              </w:rPr>
              <w:t>规格型号</w:t>
            </w:r>
          </w:p>
        </w:tc>
        <w:tc>
          <w:tcPr>
            <w:tcW w:w="0" w:type="auto"/>
            <w:vAlign w:val="center"/>
          </w:tcPr>
          <w:p w14:paraId="7FAC9208">
            <w:pPr>
              <w:widowControl/>
              <w:jc w:val="center"/>
              <w:textAlignment w:val="center"/>
              <w:rPr>
                <w:b/>
                <w:color w:val="000000"/>
                <w:szCs w:val="21"/>
              </w:rPr>
            </w:pPr>
            <w:r>
              <w:rPr>
                <w:b/>
                <w:color w:val="000000"/>
                <w:szCs w:val="21"/>
              </w:rPr>
              <w:t>产品序列号</w:t>
            </w:r>
          </w:p>
        </w:tc>
        <w:tc>
          <w:tcPr>
            <w:tcW w:w="0" w:type="auto"/>
            <w:vAlign w:val="center"/>
          </w:tcPr>
          <w:p w14:paraId="1A6B2729">
            <w:pPr>
              <w:widowControl/>
              <w:jc w:val="center"/>
              <w:textAlignment w:val="center"/>
              <w:rPr>
                <w:b/>
                <w:color w:val="000000"/>
                <w:szCs w:val="21"/>
              </w:rPr>
            </w:pPr>
            <w:r>
              <w:rPr>
                <w:b/>
                <w:color w:val="000000"/>
                <w:szCs w:val="21"/>
              </w:rPr>
              <w:t>技术参数（最大）</w:t>
            </w:r>
          </w:p>
        </w:tc>
        <w:tc>
          <w:tcPr>
            <w:tcW w:w="0" w:type="auto"/>
            <w:vAlign w:val="center"/>
          </w:tcPr>
          <w:p w14:paraId="1BCA09D1">
            <w:pPr>
              <w:widowControl/>
              <w:jc w:val="center"/>
              <w:textAlignment w:val="center"/>
              <w:rPr>
                <w:b/>
                <w:color w:val="000000"/>
                <w:szCs w:val="21"/>
              </w:rPr>
            </w:pPr>
            <w:r>
              <w:rPr>
                <w:b/>
                <w:color w:val="000000"/>
                <w:szCs w:val="21"/>
              </w:rPr>
              <w:t>生产厂家</w:t>
            </w:r>
          </w:p>
        </w:tc>
      </w:tr>
      <w:tr w14:paraId="64D60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vAlign w:val="center"/>
          </w:tcPr>
          <w:p w14:paraId="3676E810">
            <w:pPr>
              <w:widowControl/>
              <w:jc w:val="center"/>
              <w:textAlignment w:val="center"/>
              <w:rPr>
                <w:b/>
                <w:color w:val="000000"/>
                <w:szCs w:val="21"/>
              </w:rPr>
            </w:pPr>
            <w:r>
              <w:rPr>
                <w:b/>
                <w:color w:val="000000"/>
                <w:kern w:val="0"/>
                <w:szCs w:val="21"/>
                <w:lang w:bidi="ar"/>
              </w:rPr>
              <w:t>1</w:t>
            </w:r>
          </w:p>
        </w:tc>
        <w:tc>
          <w:tcPr>
            <w:tcW w:w="0" w:type="auto"/>
            <w:vAlign w:val="center"/>
          </w:tcPr>
          <w:p w14:paraId="0AB175E6">
            <w:pPr>
              <w:widowControl/>
              <w:jc w:val="center"/>
              <w:textAlignment w:val="center"/>
              <w:rPr>
                <w:color w:val="000000"/>
                <w:szCs w:val="21"/>
              </w:rPr>
            </w:pPr>
            <w:r>
              <w:rPr>
                <w:color w:val="000000"/>
                <w:szCs w:val="21"/>
              </w:rPr>
              <w:t>6号楼一楼</w:t>
            </w:r>
          </w:p>
        </w:tc>
        <w:tc>
          <w:tcPr>
            <w:tcW w:w="0" w:type="auto"/>
            <w:vAlign w:val="center"/>
          </w:tcPr>
          <w:p w14:paraId="5504A1FD">
            <w:pPr>
              <w:widowControl/>
              <w:jc w:val="center"/>
              <w:textAlignment w:val="center"/>
              <w:rPr>
                <w:color w:val="000000"/>
                <w:szCs w:val="21"/>
              </w:rPr>
            </w:pPr>
            <w:r>
              <w:rPr>
                <w:color w:val="000000"/>
                <w:szCs w:val="21"/>
              </w:rPr>
              <w:t>医用X射线计算机断层扫描（CT）装置</w:t>
            </w:r>
          </w:p>
        </w:tc>
        <w:tc>
          <w:tcPr>
            <w:tcW w:w="0" w:type="auto"/>
            <w:vAlign w:val="center"/>
          </w:tcPr>
          <w:p w14:paraId="2DC751E9">
            <w:pPr>
              <w:widowControl/>
              <w:jc w:val="center"/>
              <w:textAlignment w:val="center"/>
              <w:rPr>
                <w:color w:val="000000"/>
                <w:szCs w:val="21"/>
              </w:rPr>
            </w:pPr>
            <w:r>
              <w:rPr>
                <w:color w:val="000000"/>
                <w:szCs w:val="21"/>
              </w:rPr>
              <w:t>III类</w:t>
            </w:r>
          </w:p>
        </w:tc>
        <w:tc>
          <w:tcPr>
            <w:tcW w:w="0" w:type="auto"/>
            <w:vAlign w:val="center"/>
          </w:tcPr>
          <w:p w14:paraId="529E19CE">
            <w:pPr>
              <w:widowControl/>
              <w:jc w:val="center"/>
              <w:textAlignment w:val="center"/>
              <w:rPr>
                <w:color w:val="000000"/>
                <w:kern w:val="0"/>
                <w:szCs w:val="21"/>
                <w:lang w:bidi="ar"/>
              </w:rPr>
            </w:pPr>
            <w:r>
              <w:rPr>
                <w:szCs w:val="21"/>
              </w:rPr>
              <w:t>使用</w:t>
            </w:r>
          </w:p>
        </w:tc>
        <w:tc>
          <w:tcPr>
            <w:tcW w:w="0" w:type="auto"/>
            <w:vAlign w:val="center"/>
          </w:tcPr>
          <w:p w14:paraId="1650DC97">
            <w:pPr>
              <w:widowControl/>
              <w:jc w:val="center"/>
              <w:textAlignment w:val="center"/>
              <w:rPr>
                <w:color w:val="000000"/>
                <w:kern w:val="0"/>
                <w:szCs w:val="21"/>
                <w:lang w:bidi="ar"/>
              </w:rPr>
            </w:pPr>
            <w:r>
              <w:rPr>
                <w:szCs w:val="21"/>
              </w:rPr>
              <w:t>1</w:t>
            </w:r>
          </w:p>
        </w:tc>
        <w:tc>
          <w:tcPr>
            <w:tcW w:w="0" w:type="auto"/>
            <w:vAlign w:val="center"/>
          </w:tcPr>
          <w:p w14:paraId="372B3DC9">
            <w:pPr>
              <w:widowControl/>
              <w:jc w:val="center"/>
              <w:textAlignment w:val="center"/>
              <w:rPr>
                <w:color w:val="000000"/>
                <w:szCs w:val="21"/>
              </w:rPr>
            </w:pPr>
            <w:r>
              <w:rPr>
                <w:color w:val="000000"/>
                <w:szCs w:val="21"/>
              </w:rPr>
              <w:t>64排CT机</w:t>
            </w:r>
          </w:p>
        </w:tc>
        <w:tc>
          <w:tcPr>
            <w:tcW w:w="0" w:type="auto"/>
            <w:vAlign w:val="center"/>
          </w:tcPr>
          <w:p w14:paraId="10EE12F3">
            <w:pPr>
              <w:widowControl/>
              <w:jc w:val="center"/>
              <w:textAlignment w:val="center"/>
              <w:rPr>
                <w:color w:val="000000"/>
                <w:szCs w:val="21"/>
              </w:rPr>
            </w:pPr>
            <w:r>
              <w:rPr>
                <w:color w:val="000000"/>
                <w:szCs w:val="21"/>
              </w:rPr>
              <w:t>IQon Spectral CT</w:t>
            </w:r>
          </w:p>
        </w:tc>
        <w:tc>
          <w:tcPr>
            <w:tcW w:w="0" w:type="auto"/>
            <w:vAlign w:val="center"/>
          </w:tcPr>
          <w:p w14:paraId="1859C055">
            <w:pPr>
              <w:widowControl/>
              <w:jc w:val="center"/>
              <w:textAlignment w:val="center"/>
              <w:rPr>
                <w:color w:val="000000"/>
                <w:szCs w:val="21"/>
              </w:rPr>
            </w:pPr>
            <w:r>
              <w:rPr>
                <w:color w:val="000000"/>
                <w:szCs w:val="21"/>
              </w:rPr>
              <w:t>860136</w:t>
            </w:r>
          </w:p>
        </w:tc>
        <w:tc>
          <w:tcPr>
            <w:tcW w:w="0" w:type="auto"/>
            <w:vAlign w:val="center"/>
          </w:tcPr>
          <w:p w14:paraId="46343E5E">
            <w:pPr>
              <w:widowControl/>
              <w:jc w:val="center"/>
              <w:textAlignment w:val="center"/>
              <w:rPr>
                <w:color w:val="000000"/>
                <w:szCs w:val="21"/>
              </w:rPr>
            </w:pPr>
            <w:r>
              <w:rPr>
                <w:color w:val="000000"/>
                <w:szCs w:val="21"/>
              </w:rPr>
              <w:t>管电压140kV 管电流1000mA</w:t>
            </w:r>
          </w:p>
        </w:tc>
        <w:tc>
          <w:tcPr>
            <w:tcW w:w="0" w:type="auto"/>
            <w:vAlign w:val="center"/>
          </w:tcPr>
          <w:p w14:paraId="5D496C8C">
            <w:pPr>
              <w:widowControl/>
              <w:jc w:val="center"/>
              <w:textAlignment w:val="center"/>
              <w:rPr>
                <w:color w:val="000000"/>
                <w:szCs w:val="21"/>
              </w:rPr>
            </w:pPr>
            <w:r>
              <w:rPr>
                <w:color w:val="000000"/>
                <w:szCs w:val="21"/>
              </w:rPr>
              <w:t>飞利浦</w:t>
            </w:r>
          </w:p>
        </w:tc>
      </w:tr>
      <w:tr w14:paraId="138D9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vAlign w:val="center"/>
          </w:tcPr>
          <w:p w14:paraId="02B8DB4D">
            <w:pPr>
              <w:widowControl/>
              <w:jc w:val="center"/>
              <w:textAlignment w:val="center"/>
              <w:rPr>
                <w:b/>
                <w:color w:val="000000"/>
                <w:szCs w:val="21"/>
              </w:rPr>
            </w:pPr>
            <w:r>
              <w:rPr>
                <w:b/>
                <w:color w:val="000000"/>
                <w:kern w:val="0"/>
                <w:szCs w:val="21"/>
                <w:lang w:bidi="ar"/>
              </w:rPr>
              <w:t>2</w:t>
            </w:r>
          </w:p>
        </w:tc>
        <w:tc>
          <w:tcPr>
            <w:tcW w:w="0" w:type="auto"/>
            <w:vMerge w:val="restart"/>
            <w:vAlign w:val="center"/>
          </w:tcPr>
          <w:p w14:paraId="08C1B7FF">
            <w:pPr>
              <w:widowControl/>
              <w:jc w:val="center"/>
              <w:textAlignment w:val="center"/>
              <w:rPr>
                <w:color w:val="000000"/>
                <w:szCs w:val="21"/>
              </w:rPr>
            </w:pPr>
            <w:r>
              <w:rPr>
                <w:color w:val="000000"/>
                <w:szCs w:val="21"/>
              </w:rPr>
              <w:t>本院区1号楼八楼</w:t>
            </w:r>
          </w:p>
        </w:tc>
        <w:tc>
          <w:tcPr>
            <w:tcW w:w="0" w:type="auto"/>
            <w:vAlign w:val="center"/>
          </w:tcPr>
          <w:p w14:paraId="0ABC6CC3">
            <w:pPr>
              <w:widowControl/>
              <w:jc w:val="center"/>
              <w:textAlignment w:val="center"/>
              <w:rPr>
                <w:color w:val="000000"/>
                <w:szCs w:val="21"/>
              </w:rPr>
            </w:pPr>
            <w:r>
              <w:rPr>
                <w:color w:val="000000"/>
                <w:szCs w:val="21"/>
              </w:rPr>
              <w:t>口腔（牙科）X射线装置</w:t>
            </w:r>
          </w:p>
        </w:tc>
        <w:tc>
          <w:tcPr>
            <w:tcW w:w="0" w:type="auto"/>
          </w:tcPr>
          <w:p w14:paraId="79A52502">
            <w:pPr>
              <w:widowControl/>
              <w:jc w:val="center"/>
              <w:textAlignment w:val="center"/>
              <w:rPr>
                <w:color w:val="000000"/>
                <w:szCs w:val="21"/>
              </w:rPr>
            </w:pPr>
            <w:r>
              <w:rPr>
                <w:color w:val="000000"/>
                <w:szCs w:val="21"/>
              </w:rPr>
              <w:t>III类</w:t>
            </w:r>
          </w:p>
        </w:tc>
        <w:tc>
          <w:tcPr>
            <w:tcW w:w="0" w:type="auto"/>
            <w:vAlign w:val="center"/>
          </w:tcPr>
          <w:p w14:paraId="4F89A6CE">
            <w:pPr>
              <w:widowControl/>
              <w:jc w:val="center"/>
              <w:textAlignment w:val="center"/>
              <w:rPr>
                <w:color w:val="000000"/>
                <w:kern w:val="0"/>
                <w:szCs w:val="21"/>
                <w:lang w:bidi="ar"/>
              </w:rPr>
            </w:pPr>
            <w:r>
              <w:rPr>
                <w:szCs w:val="21"/>
              </w:rPr>
              <w:t>使用</w:t>
            </w:r>
          </w:p>
        </w:tc>
        <w:tc>
          <w:tcPr>
            <w:tcW w:w="0" w:type="auto"/>
            <w:vAlign w:val="center"/>
          </w:tcPr>
          <w:p w14:paraId="6ED10121">
            <w:pPr>
              <w:widowControl/>
              <w:jc w:val="center"/>
              <w:textAlignment w:val="center"/>
              <w:rPr>
                <w:color w:val="000000"/>
                <w:kern w:val="0"/>
                <w:szCs w:val="21"/>
                <w:lang w:bidi="ar"/>
              </w:rPr>
            </w:pPr>
            <w:r>
              <w:rPr>
                <w:szCs w:val="21"/>
              </w:rPr>
              <w:t>1</w:t>
            </w:r>
          </w:p>
        </w:tc>
        <w:tc>
          <w:tcPr>
            <w:tcW w:w="0" w:type="auto"/>
            <w:vAlign w:val="center"/>
          </w:tcPr>
          <w:p w14:paraId="63253616">
            <w:pPr>
              <w:widowControl/>
              <w:jc w:val="center"/>
              <w:textAlignment w:val="center"/>
              <w:rPr>
                <w:color w:val="000000"/>
                <w:szCs w:val="21"/>
              </w:rPr>
            </w:pPr>
            <w:r>
              <w:rPr>
                <w:color w:val="000000"/>
                <w:szCs w:val="21"/>
              </w:rPr>
              <w:t>口腔全景机</w:t>
            </w:r>
          </w:p>
        </w:tc>
        <w:tc>
          <w:tcPr>
            <w:tcW w:w="0" w:type="auto"/>
            <w:vAlign w:val="center"/>
          </w:tcPr>
          <w:p w14:paraId="2598E7CC">
            <w:pPr>
              <w:widowControl/>
              <w:jc w:val="center"/>
              <w:textAlignment w:val="center"/>
              <w:rPr>
                <w:color w:val="000000"/>
                <w:szCs w:val="21"/>
              </w:rPr>
            </w:pPr>
            <w:r>
              <w:rPr>
                <w:color w:val="000000"/>
                <w:szCs w:val="21"/>
              </w:rPr>
              <w:t>ORTHOPHOSXG5Ceph</w:t>
            </w:r>
          </w:p>
        </w:tc>
        <w:tc>
          <w:tcPr>
            <w:tcW w:w="0" w:type="auto"/>
            <w:vAlign w:val="center"/>
          </w:tcPr>
          <w:p w14:paraId="760155F9">
            <w:pPr>
              <w:widowControl/>
              <w:jc w:val="center"/>
              <w:textAlignment w:val="center"/>
              <w:rPr>
                <w:color w:val="000000"/>
                <w:szCs w:val="21"/>
              </w:rPr>
            </w:pPr>
            <w:r>
              <w:rPr>
                <w:color w:val="000000"/>
                <w:szCs w:val="21"/>
              </w:rPr>
              <w:t>92460</w:t>
            </w:r>
          </w:p>
        </w:tc>
        <w:tc>
          <w:tcPr>
            <w:tcW w:w="0" w:type="auto"/>
            <w:vAlign w:val="center"/>
          </w:tcPr>
          <w:p w14:paraId="2C4C1BA2">
            <w:pPr>
              <w:widowControl/>
              <w:jc w:val="center"/>
              <w:textAlignment w:val="center"/>
              <w:rPr>
                <w:color w:val="000000"/>
                <w:szCs w:val="21"/>
              </w:rPr>
            </w:pPr>
            <w:r>
              <w:rPr>
                <w:color w:val="000000"/>
                <w:szCs w:val="21"/>
              </w:rPr>
              <w:t>管电压90kV 管电流16mA</w:t>
            </w:r>
          </w:p>
        </w:tc>
        <w:tc>
          <w:tcPr>
            <w:tcW w:w="0" w:type="auto"/>
            <w:vAlign w:val="center"/>
          </w:tcPr>
          <w:p w14:paraId="7ECCD829">
            <w:pPr>
              <w:widowControl/>
              <w:jc w:val="center"/>
              <w:textAlignment w:val="center"/>
              <w:rPr>
                <w:color w:val="000000"/>
                <w:szCs w:val="21"/>
              </w:rPr>
            </w:pPr>
            <w:r>
              <w:rPr>
                <w:color w:val="000000"/>
                <w:szCs w:val="21"/>
              </w:rPr>
              <w:t>Sirona</w:t>
            </w:r>
          </w:p>
        </w:tc>
      </w:tr>
      <w:tr w14:paraId="1D6C8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vAlign w:val="center"/>
          </w:tcPr>
          <w:p w14:paraId="39638A2E">
            <w:pPr>
              <w:widowControl/>
              <w:jc w:val="center"/>
              <w:textAlignment w:val="center"/>
              <w:rPr>
                <w:b/>
                <w:color w:val="000000"/>
                <w:szCs w:val="21"/>
              </w:rPr>
            </w:pPr>
            <w:r>
              <w:rPr>
                <w:b/>
                <w:color w:val="000000"/>
                <w:kern w:val="0"/>
                <w:szCs w:val="21"/>
                <w:lang w:bidi="ar"/>
              </w:rPr>
              <w:t>3</w:t>
            </w:r>
          </w:p>
        </w:tc>
        <w:tc>
          <w:tcPr>
            <w:tcW w:w="0" w:type="auto"/>
            <w:vMerge w:val="continue"/>
            <w:vAlign w:val="center"/>
          </w:tcPr>
          <w:p w14:paraId="3AB8D264">
            <w:pPr>
              <w:widowControl/>
              <w:jc w:val="center"/>
              <w:textAlignment w:val="center"/>
              <w:rPr>
                <w:color w:val="000000"/>
                <w:szCs w:val="21"/>
              </w:rPr>
            </w:pPr>
          </w:p>
        </w:tc>
        <w:tc>
          <w:tcPr>
            <w:tcW w:w="0" w:type="auto"/>
          </w:tcPr>
          <w:p w14:paraId="5F6C0B56">
            <w:pPr>
              <w:widowControl/>
              <w:jc w:val="center"/>
              <w:textAlignment w:val="center"/>
              <w:rPr>
                <w:color w:val="000000"/>
                <w:szCs w:val="21"/>
              </w:rPr>
            </w:pPr>
            <w:r>
              <w:rPr>
                <w:color w:val="000000"/>
                <w:szCs w:val="21"/>
              </w:rPr>
              <w:t>口腔（牙科）X射线装置</w:t>
            </w:r>
          </w:p>
        </w:tc>
        <w:tc>
          <w:tcPr>
            <w:tcW w:w="0" w:type="auto"/>
          </w:tcPr>
          <w:p w14:paraId="4EFBC73F">
            <w:pPr>
              <w:widowControl/>
              <w:jc w:val="center"/>
              <w:textAlignment w:val="center"/>
              <w:rPr>
                <w:color w:val="000000"/>
                <w:szCs w:val="21"/>
              </w:rPr>
            </w:pPr>
            <w:r>
              <w:rPr>
                <w:color w:val="000000"/>
                <w:szCs w:val="21"/>
              </w:rPr>
              <w:t>III类</w:t>
            </w:r>
          </w:p>
        </w:tc>
        <w:tc>
          <w:tcPr>
            <w:tcW w:w="0" w:type="auto"/>
            <w:vAlign w:val="center"/>
          </w:tcPr>
          <w:p w14:paraId="2C179008">
            <w:pPr>
              <w:widowControl/>
              <w:jc w:val="center"/>
              <w:textAlignment w:val="center"/>
              <w:rPr>
                <w:color w:val="000000"/>
                <w:kern w:val="0"/>
                <w:szCs w:val="21"/>
                <w:lang w:bidi="ar"/>
              </w:rPr>
            </w:pPr>
            <w:r>
              <w:rPr>
                <w:szCs w:val="21"/>
              </w:rPr>
              <w:t>使用</w:t>
            </w:r>
          </w:p>
        </w:tc>
        <w:tc>
          <w:tcPr>
            <w:tcW w:w="0" w:type="auto"/>
            <w:vAlign w:val="center"/>
          </w:tcPr>
          <w:p w14:paraId="1EFD5C13">
            <w:pPr>
              <w:widowControl/>
              <w:jc w:val="center"/>
              <w:textAlignment w:val="center"/>
              <w:rPr>
                <w:color w:val="000000"/>
                <w:kern w:val="0"/>
                <w:szCs w:val="21"/>
                <w:lang w:bidi="ar"/>
              </w:rPr>
            </w:pPr>
            <w:r>
              <w:rPr>
                <w:szCs w:val="21"/>
              </w:rPr>
              <w:t>1</w:t>
            </w:r>
          </w:p>
        </w:tc>
        <w:tc>
          <w:tcPr>
            <w:tcW w:w="0" w:type="auto"/>
            <w:vAlign w:val="center"/>
          </w:tcPr>
          <w:p w14:paraId="78C1FE38">
            <w:pPr>
              <w:widowControl/>
              <w:jc w:val="center"/>
              <w:textAlignment w:val="center"/>
              <w:rPr>
                <w:color w:val="000000"/>
                <w:szCs w:val="21"/>
              </w:rPr>
            </w:pPr>
            <w:r>
              <w:rPr>
                <w:color w:val="000000"/>
                <w:szCs w:val="21"/>
              </w:rPr>
              <w:t>牙片机</w:t>
            </w:r>
          </w:p>
        </w:tc>
        <w:tc>
          <w:tcPr>
            <w:tcW w:w="0" w:type="auto"/>
            <w:vAlign w:val="center"/>
          </w:tcPr>
          <w:p w14:paraId="4542A8D3">
            <w:pPr>
              <w:widowControl/>
              <w:jc w:val="center"/>
              <w:textAlignment w:val="center"/>
              <w:rPr>
                <w:color w:val="000000"/>
                <w:szCs w:val="21"/>
              </w:rPr>
            </w:pPr>
            <w:r>
              <w:rPr>
                <w:color w:val="000000"/>
                <w:szCs w:val="21"/>
              </w:rPr>
              <w:t>HELIODENT PLUS</w:t>
            </w:r>
          </w:p>
        </w:tc>
        <w:tc>
          <w:tcPr>
            <w:tcW w:w="0" w:type="auto"/>
            <w:vAlign w:val="center"/>
          </w:tcPr>
          <w:p w14:paraId="29537182">
            <w:pPr>
              <w:widowControl/>
              <w:jc w:val="center"/>
              <w:textAlignment w:val="center"/>
              <w:rPr>
                <w:color w:val="000000"/>
                <w:szCs w:val="21"/>
              </w:rPr>
            </w:pPr>
            <w:r>
              <w:rPr>
                <w:color w:val="000000"/>
                <w:szCs w:val="21"/>
              </w:rPr>
              <w:t>4441</w:t>
            </w:r>
          </w:p>
        </w:tc>
        <w:tc>
          <w:tcPr>
            <w:tcW w:w="0" w:type="auto"/>
            <w:vAlign w:val="center"/>
          </w:tcPr>
          <w:p w14:paraId="01364D51">
            <w:pPr>
              <w:widowControl/>
              <w:jc w:val="center"/>
              <w:textAlignment w:val="center"/>
              <w:rPr>
                <w:color w:val="000000"/>
                <w:szCs w:val="21"/>
              </w:rPr>
            </w:pPr>
            <w:r>
              <w:rPr>
                <w:color w:val="000000"/>
                <w:szCs w:val="21"/>
              </w:rPr>
              <w:t>管电压70kV 管电流7mA</w:t>
            </w:r>
          </w:p>
        </w:tc>
        <w:tc>
          <w:tcPr>
            <w:tcW w:w="0" w:type="auto"/>
            <w:vAlign w:val="center"/>
          </w:tcPr>
          <w:p w14:paraId="1B40BBAC">
            <w:pPr>
              <w:widowControl/>
              <w:jc w:val="center"/>
              <w:textAlignment w:val="center"/>
              <w:rPr>
                <w:color w:val="000000"/>
                <w:szCs w:val="21"/>
              </w:rPr>
            </w:pPr>
            <w:r>
              <w:rPr>
                <w:color w:val="000000"/>
                <w:szCs w:val="21"/>
              </w:rPr>
              <w:t>西诺德</w:t>
            </w:r>
          </w:p>
        </w:tc>
      </w:tr>
      <w:tr w14:paraId="347F7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vAlign w:val="center"/>
          </w:tcPr>
          <w:p w14:paraId="674AB144">
            <w:pPr>
              <w:widowControl/>
              <w:jc w:val="center"/>
              <w:textAlignment w:val="center"/>
              <w:rPr>
                <w:b/>
                <w:color w:val="000000"/>
                <w:szCs w:val="21"/>
              </w:rPr>
            </w:pPr>
            <w:r>
              <w:rPr>
                <w:b/>
                <w:color w:val="000000"/>
                <w:szCs w:val="21"/>
              </w:rPr>
              <w:t>4</w:t>
            </w:r>
          </w:p>
        </w:tc>
        <w:tc>
          <w:tcPr>
            <w:tcW w:w="0" w:type="auto"/>
            <w:vMerge w:val="continue"/>
            <w:vAlign w:val="center"/>
          </w:tcPr>
          <w:p w14:paraId="377F6884">
            <w:pPr>
              <w:widowControl/>
              <w:jc w:val="center"/>
              <w:textAlignment w:val="center"/>
              <w:rPr>
                <w:color w:val="000000"/>
                <w:szCs w:val="21"/>
              </w:rPr>
            </w:pPr>
          </w:p>
        </w:tc>
        <w:tc>
          <w:tcPr>
            <w:tcW w:w="0" w:type="auto"/>
          </w:tcPr>
          <w:p w14:paraId="2DD953D7">
            <w:pPr>
              <w:widowControl/>
              <w:jc w:val="center"/>
              <w:textAlignment w:val="center"/>
              <w:rPr>
                <w:color w:val="000000"/>
                <w:szCs w:val="21"/>
              </w:rPr>
            </w:pPr>
            <w:r>
              <w:rPr>
                <w:color w:val="000000"/>
                <w:szCs w:val="21"/>
              </w:rPr>
              <w:t>口腔（牙科）X射线装置</w:t>
            </w:r>
          </w:p>
        </w:tc>
        <w:tc>
          <w:tcPr>
            <w:tcW w:w="0" w:type="auto"/>
          </w:tcPr>
          <w:p w14:paraId="05722850">
            <w:pPr>
              <w:widowControl/>
              <w:jc w:val="center"/>
              <w:textAlignment w:val="center"/>
              <w:rPr>
                <w:color w:val="000000"/>
                <w:szCs w:val="21"/>
              </w:rPr>
            </w:pPr>
            <w:r>
              <w:rPr>
                <w:color w:val="000000"/>
                <w:szCs w:val="21"/>
              </w:rPr>
              <w:t>III类</w:t>
            </w:r>
          </w:p>
        </w:tc>
        <w:tc>
          <w:tcPr>
            <w:tcW w:w="0" w:type="auto"/>
            <w:vAlign w:val="center"/>
          </w:tcPr>
          <w:p w14:paraId="07814A4D">
            <w:pPr>
              <w:widowControl/>
              <w:jc w:val="center"/>
              <w:textAlignment w:val="center"/>
              <w:rPr>
                <w:color w:val="000000"/>
                <w:kern w:val="0"/>
                <w:szCs w:val="21"/>
                <w:lang w:bidi="ar"/>
              </w:rPr>
            </w:pPr>
            <w:r>
              <w:rPr>
                <w:szCs w:val="21"/>
              </w:rPr>
              <w:t>使用</w:t>
            </w:r>
          </w:p>
        </w:tc>
        <w:tc>
          <w:tcPr>
            <w:tcW w:w="0" w:type="auto"/>
            <w:vAlign w:val="center"/>
          </w:tcPr>
          <w:p w14:paraId="060C1929">
            <w:pPr>
              <w:widowControl/>
              <w:jc w:val="center"/>
              <w:textAlignment w:val="center"/>
              <w:rPr>
                <w:color w:val="000000"/>
                <w:kern w:val="0"/>
                <w:szCs w:val="21"/>
                <w:lang w:bidi="ar"/>
              </w:rPr>
            </w:pPr>
            <w:r>
              <w:rPr>
                <w:szCs w:val="21"/>
              </w:rPr>
              <w:t>1</w:t>
            </w:r>
          </w:p>
        </w:tc>
        <w:tc>
          <w:tcPr>
            <w:tcW w:w="0" w:type="auto"/>
            <w:vAlign w:val="center"/>
          </w:tcPr>
          <w:p w14:paraId="192DDB51">
            <w:pPr>
              <w:widowControl/>
              <w:jc w:val="center"/>
              <w:textAlignment w:val="center"/>
              <w:rPr>
                <w:color w:val="000000"/>
                <w:szCs w:val="21"/>
              </w:rPr>
            </w:pPr>
            <w:r>
              <w:rPr>
                <w:color w:val="000000"/>
                <w:szCs w:val="21"/>
              </w:rPr>
              <w:t>牙科CT机</w:t>
            </w:r>
          </w:p>
        </w:tc>
        <w:tc>
          <w:tcPr>
            <w:tcW w:w="0" w:type="auto"/>
            <w:vAlign w:val="center"/>
          </w:tcPr>
          <w:p w14:paraId="0F43665B">
            <w:pPr>
              <w:widowControl/>
              <w:jc w:val="center"/>
              <w:textAlignment w:val="center"/>
              <w:rPr>
                <w:color w:val="000000"/>
                <w:szCs w:val="21"/>
              </w:rPr>
            </w:pPr>
            <w:r>
              <w:rPr>
                <w:color w:val="000000"/>
                <w:szCs w:val="21"/>
              </w:rPr>
              <w:t>NewTom Vgi</w:t>
            </w:r>
          </w:p>
        </w:tc>
        <w:tc>
          <w:tcPr>
            <w:tcW w:w="0" w:type="auto"/>
            <w:vAlign w:val="center"/>
          </w:tcPr>
          <w:p w14:paraId="27BA5FD1">
            <w:pPr>
              <w:widowControl/>
              <w:jc w:val="center"/>
              <w:textAlignment w:val="center"/>
              <w:rPr>
                <w:color w:val="000000"/>
                <w:kern w:val="0"/>
                <w:szCs w:val="21"/>
                <w:lang w:bidi="ar"/>
              </w:rPr>
            </w:pPr>
            <w:r>
              <w:rPr>
                <w:color w:val="000000"/>
                <w:kern w:val="0"/>
                <w:szCs w:val="21"/>
                <w:lang w:bidi="ar"/>
              </w:rPr>
              <w:t>VG13050S</w:t>
            </w:r>
          </w:p>
        </w:tc>
        <w:tc>
          <w:tcPr>
            <w:tcW w:w="0" w:type="auto"/>
            <w:vAlign w:val="center"/>
          </w:tcPr>
          <w:p w14:paraId="33FA9597">
            <w:pPr>
              <w:widowControl/>
              <w:jc w:val="center"/>
              <w:textAlignment w:val="center"/>
              <w:rPr>
                <w:color w:val="000000"/>
                <w:kern w:val="0"/>
                <w:szCs w:val="21"/>
                <w:lang w:bidi="ar"/>
              </w:rPr>
            </w:pPr>
            <w:r>
              <w:rPr>
                <w:color w:val="000000"/>
                <w:kern w:val="0"/>
                <w:szCs w:val="21"/>
                <w:lang w:bidi="ar"/>
              </w:rPr>
              <w:t>管电压110kV 管电流20mA</w:t>
            </w:r>
          </w:p>
        </w:tc>
        <w:tc>
          <w:tcPr>
            <w:tcW w:w="0" w:type="auto"/>
            <w:vAlign w:val="center"/>
          </w:tcPr>
          <w:p w14:paraId="2F499254">
            <w:pPr>
              <w:widowControl/>
              <w:jc w:val="center"/>
              <w:textAlignment w:val="center"/>
              <w:rPr>
                <w:color w:val="000000"/>
                <w:kern w:val="0"/>
                <w:szCs w:val="21"/>
                <w:lang w:bidi="ar"/>
              </w:rPr>
            </w:pPr>
            <w:r>
              <w:rPr>
                <w:color w:val="000000"/>
                <w:kern w:val="0"/>
                <w:szCs w:val="21"/>
                <w:lang w:bidi="ar"/>
              </w:rPr>
              <w:t>QR s.r.l</w:t>
            </w:r>
          </w:p>
        </w:tc>
      </w:tr>
      <w:tr w14:paraId="796D2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19FE814D">
            <w:pPr>
              <w:widowControl/>
              <w:jc w:val="center"/>
              <w:textAlignment w:val="center"/>
              <w:rPr>
                <w:b/>
                <w:color w:val="000000"/>
                <w:szCs w:val="21"/>
              </w:rPr>
            </w:pPr>
            <w:r>
              <w:rPr>
                <w:b/>
                <w:color w:val="000000"/>
                <w:kern w:val="0"/>
                <w:szCs w:val="21"/>
                <w:lang w:bidi="ar"/>
              </w:rPr>
              <w:t>5</w:t>
            </w:r>
          </w:p>
        </w:tc>
        <w:tc>
          <w:tcPr>
            <w:tcW w:w="0" w:type="auto"/>
            <w:vMerge w:val="restart"/>
            <w:vAlign w:val="center"/>
          </w:tcPr>
          <w:p w14:paraId="53B32CBB">
            <w:pPr>
              <w:widowControl/>
              <w:jc w:val="center"/>
              <w:textAlignment w:val="center"/>
              <w:rPr>
                <w:color w:val="000000"/>
                <w:szCs w:val="21"/>
              </w:rPr>
            </w:pPr>
            <w:r>
              <w:rPr>
                <w:color w:val="000000"/>
                <w:szCs w:val="21"/>
              </w:rPr>
              <w:t>本院区3号楼3楼</w:t>
            </w:r>
          </w:p>
        </w:tc>
        <w:tc>
          <w:tcPr>
            <w:tcW w:w="0" w:type="auto"/>
            <w:vAlign w:val="center"/>
          </w:tcPr>
          <w:p w14:paraId="1BC7DFE5">
            <w:pPr>
              <w:widowControl/>
              <w:jc w:val="center"/>
              <w:textAlignment w:val="center"/>
              <w:rPr>
                <w:color w:val="000000"/>
                <w:szCs w:val="21"/>
              </w:rPr>
            </w:pPr>
            <w:r>
              <w:rPr>
                <w:color w:val="000000"/>
                <w:szCs w:val="21"/>
              </w:rPr>
              <w:t>医用诊断X射线装置</w:t>
            </w:r>
          </w:p>
        </w:tc>
        <w:tc>
          <w:tcPr>
            <w:tcW w:w="0" w:type="auto"/>
          </w:tcPr>
          <w:p w14:paraId="5DE5257D">
            <w:pPr>
              <w:widowControl/>
              <w:jc w:val="center"/>
              <w:textAlignment w:val="center"/>
              <w:rPr>
                <w:color w:val="000000"/>
                <w:szCs w:val="21"/>
              </w:rPr>
            </w:pPr>
            <w:r>
              <w:rPr>
                <w:color w:val="000000"/>
                <w:szCs w:val="21"/>
              </w:rPr>
              <w:t>III类</w:t>
            </w:r>
          </w:p>
        </w:tc>
        <w:tc>
          <w:tcPr>
            <w:tcW w:w="0" w:type="auto"/>
            <w:vAlign w:val="center"/>
          </w:tcPr>
          <w:p w14:paraId="3ADC0952">
            <w:pPr>
              <w:widowControl/>
              <w:jc w:val="center"/>
              <w:textAlignment w:val="center"/>
              <w:rPr>
                <w:color w:val="000000"/>
                <w:kern w:val="0"/>
                <w:szCs w:val="21"/>
                <w:lang w:bidi="ar"/>
              </w:rPr>
            </w:pPr>
            <w:r>
              <w:rPr>
                <w:szCs w:val="21"/>
              </w:rPr>
              <w:t>使用</w:t>
            </w:r>
          </w:p>
        </w:tc>
        <w:tc>
          <w:tcPr>
            <w:tcW w:w="0" w:type="auto"/>
            <w:vAlign w:val="center"/>
          </w:tcPr>
          <w:p w14:paraId="265E719F">
            <w:pPr>
              <w:jc w:val="center"/>
              <w:rPr>
                <w:szCs w:val="21"/>
              </w:rPr>
            </w:pPr>
            <w:r>
              <w:rPr>
                <w:szCs w:val="21"/>
              </w:rPr>
              <w:t>1</w:t>
            </w:r>
          </w:p>
        </w:tc>
        <w:tc>
          <w:tcPr>
            <w:tcW w:w="0" w:type="auto"/>
            <w:vAlign w:val="center"/>
          </w:tcPr>
          <w:p w14:paraId="1039AAA5">
            <w:pPr>
              <w:widowControl/>
              <w:jc w:val="center"/>
              <w:textAlignment w:val="center"/>
              <w:rPr>
                <w:color w:val="000000"/>
                <w:szCs w:val="21"/>
              </w:rPr>
            </w:pPr>
            <w:r>
              <w:rPr>
                <w:color w:val="000000"/>
                <w:szCs w:val="21"/>
              </w:rPr>
              <w:t>移动DR机</w:t>
            </w:r>
          </w:p>
        </w:tc>
        <w:tc>
          <w:tcPr>
            <w:tcW w:w="0" w:type="auto"/>
            <w:vAlign w:val="center"/>
          </w:tcPr>
          <w:p w14:paraId="0F54332B">
            <w:pPr>
              <w:widowControl/>
              <w:jc w:val="center"/>
              <w:textAlignment w:val="center"/>
              <w:rPr>
                <w:color w:val="000000"/>
                <w:szCs w:val="21"/>
              </w:rPr>
            </w:pPr>
            <w:r>
              <w:rPr>
                <w:color w:val="000000"/>
                <w:szCs w:val="21"/>
              </w:rPr>
              <w:t>MUX-100J</w:t>
            </w:r>
          </w:p>
        </w:tc>
        <w:tc>
          <w:tcPr>
            <w:tcW w:w="0" w:type="auto"/>
            <w:vAlign w:val="center"/>
          </w:tcPr>
          <w:p w14:paraId="2C3BA714">
            <w:pPr>
              <w:jc w:val="center"/>
              <w:rPr>
                <w:color w:val="000000"/>
                <w:szCs w:val="21"/>
              </w:rPr>
            </w:pPr>
            <w:r>
              <w:rPr>
                <w:color w:val="000000"/>
                <w:szCs w:val="21"/>
              </w:rPr>
              <w:t>61N631</w:t>
            </w:r>
          </w:p>
        </w:tc>
        <w:tc>
          <w:tcPr>
            <w:tcW w:w="0" w:type="auto"/>
            <w:vAlign w:val="center"/>
          </w:tcPr>
          <w:p w14:paraId="0785756C">
            <w:pPr>
              <w:jc w:val="center"/>
              <w:rPr>
                <w:color w:val="000000"/>
                <w:szCs w:val="21"/>
              </w:rPr>
            </w:pPr>
            <w:r>
              <w:rPr>
                <w:color w:val="000000"/>
                <w:szCs w:val="21"/>
              </w:rPr>
              <w:t>管电压120kV 管电流100mA</w:t>
            </w:r>
          </w:p>
        </w:tc>
        <w:tc>
          <w:tcPr>
            <w:tcW w:w="0" w:type="auto"/>
            <w:vAlign w:val="center"/>
          </w:tcPr>
          <w:p w14:paraId="25F66AD5">
            <w:pPr>
              <w:jc w:val="center"/>
              <w:rPr>
                <w:color w:val="000000"/>
                <w:szCs w:val="21"/>
              </w:rPr>
            </w:pPr>
            <w:r>
              <w:rPr>
                <w:color w:val="000000"/>
                <w:szCs w:val="21"/>
              </w:rPr>
              <w:t>岛津</w:t>
            </w:r>
          </w:p>
        </w:tc>
      </w:tr>
      <w:tr w14:paraId="7FFE2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AD18062">
            <w:pPr>
              <w:widowControl/>
              <w:jc w:val="center"/>
              <w:textAlignment w:val="center"/>
              <w:rPr>
                <w:b/>
                <w:color w:val="000000"/>
                <w:szCs w:val="21"/>
              </w:rPr>
            </w:pPr>
            <w:r>
              <w:rPr>
                <w:b/>
                <w:color w:val="000000"/>
                <w:kern w:val="0"/>
                <w:szCs w:val="21"/>
                <w:lang w:bidi="ar"/>
              </w:rPr>
              <w:t>6</w:t>
            </w:r>
          </w:p>
        </w:tc>
        <w:tc>
          <w:tcPr>
            <w:tcW w:w="0" w:type="auto"/>
            <w:vMerge w:val="continue"/>
            <w:vAlign w:val="center"/>
          </w:tcPr>
          <w:p w14:paraId="0237216C">
            <w:pPr>
              <w:widowControl/>
              <w:jc w:val="center"/>
              <w:textAlignment w:val="center"/>
              <w:rPr>
                <w:color w:val="000000"/>
                <w:szCs w:val="21"/>
              </w:rPr>
            </w:pPr>
          </w:p>
        </w:tc>
        <w:tc>
          <w:tcPr>
            <w:tcW w:w="0" w:type="auto"/>
            <w:vAlign w:val="center"/>
          </w:tcPr>
          <w:p w14:paraId="1809DC6B">
            <w:pPr>
              <w:widowControl/>
              <w:jc w:val="center"/>
              <w:textAlignment w:val="center"/>
              <w:rPr>
                <w:color w:val="000000"/>
                <w:szCs w:val="21"/>
              </w:rPr>
            </w:pPr>
            <w:r>
              <w:rPr>
                <w:color w:val="000000"/>
                <w:szCs w:val="21"/>
              </w:rPr>
              <w:t>医用诊断X射线装置</w:t>
            </w:r>
          </w:p>
        </w:tc>
        <w:tc>
          <w:tcPr>
            <w:tcW w:w="0" w:type="auto"/>
          </w:tcPr>
          <w:p w14:paraId="4D59A07B">
            <w:pPr>
              <w:widowControl/>
              <w:jc w:val="center"/>
              <w:textAlignment w:val="center"/>
              <w:rPr>
                <w:color w:val="000000"/>
                <w:szCs w:val="21"/>
              </w:rPr>
            </w:pPr>
            <w:r>
              <w:rPr>
                <w:color w:val="000000"/>
                <w:szCs w:val="21"/>
              </w:rPr>
              <w:t>III类</w:t>
            </w:r>
          </w:p>
        </w:tc>
        <w:tc>
          <w:tcPr>
            <w:tcW w:w="0" w:type="auto"/>
            <w:vAlign w:val="center"/>
          </w:tcPr>
          <w:p w14:paraId="026E7497">
            <w:pPr>
              <w:widowControl/>
              <w:jc w:val="center"/>
              <w:textAlignment w:val="center"/>
              <w:rPr>
                <w:color w:val="000000"/>
                <w:kern w:val="0"/>
                <w:szCs w:val="21"/>
                <w:lang w:bidi="ar"/>
              </w:rPr>
            </w:pPr>
            <w:r>
              <w:rPr>
                <w:szCs w:val="21"/>
              </w:rPr>
              <w:t>使用</w:t>
            </w:r>
          </w:p>
        </w:tc>
        <w:tc>
          <w:tcPr>
            <w:tcW w:w="0" w:type="auto"/>
            <w:vAlign w:val="center"/>
          </w:tcPr>
          <w:p w14:paraId="627B7987">
            <w:pPr>
              <w:jc w:val="center"/>
              <w:rPr>
                <w:szCs w:val="21"/>
              </w:rPr>
            </w:pPr>
            <w:r>
              <w:rPr>
                <w:szCs w:val="21"/>
              </w:rPr>
              <w:t>1</w:t>
            </w:r>
          </w:p>
        </w:tc>
        <w:tc>
          <w:tcPr>
            <w:tcW w:w="0" w:type="auto"/>
            <w:vAlign w:val="center"/>
          </w:tcPr>
          <w:p w14:paraId="35F2247C">
            <w:pPr>
              <w:widowControl/>
              <w:jc w:val="center"/>
              <w:textAlignment w:val="center"/>
              <w:rPr>
                <w:color w:val="000000"/>
                <w:szCs w:val="21"/>
              </w:rPr>
            </w:pPr>
            <w:r>
              <w:rPr>
                <w:color w:val="000000"/>
                <w:szCs w:val="21"/>
              </w:rPr>
              <w:t>DR机</w:t>
            </w:r>
          </w:p>
        </w:tc>
        <w:tc>
          <w:tcPr>
            <w:tcW w:w="0" w:type="auto"/>
            <w:vAlign w:val="center"/>
          </w:tcPr>
          <w:p w14:paraId="256E7DDE">
            <w:pPr>
              <w:widowControl/>
              <w:jc w:val="center"/>
              <w:textAlignment w:val="center"/>
              <w:rPr>
                <w:color w:val="000000"/>
                <w:szCs w:val="21"/>
              </w:rPr>
            </w:pPr>
            <w:r>
              <w:rPr>
                <w:color w:val="000000"/>
                <w:szCs w:val="21"/>
              </w:rPr>
              <w:t>RAD speed Pro 80</w:t>
            </w:r>
          </w:p>
        </w:tc>
        <w:tc>
          <w:tcPr>
            <w:tcW w:w="0" w:type="auto"/>
            <w:vAlign w:val="center"/>
          </w:tcPr>
          <w:p w14:paraId="1ADF78CE">
            <w:pPr>
              <w:widowControl/>
              <w:jc w:val="center"/>
              <w:textAlignment w:val="center"/>
              <w:rPr>
                <w:color w:val="000000"/>
                <w:szCs w:val="21"/>
              </w:rPr>
            </w:pPr>
            <w:r>
              <w:rPr>
                <w:color w:val="000000"/>
                <w:szCs w:val="21"/>
              </w:rPr>
              <w:t>61C7056</w:t>
            </w:r>
          </w:p>
        </w:tc>
        <w:tc>
          <w:tcPr>
            <w:tcW w:w="0" w:type="auto"/>
            <w:vAlign w:val="center"/>
          </w:tcPr>
          <w:p w14:paraId="0A2A316F">
            <w:pPr>
              <w:widowControl/>
              <w:jc w:val="center"/>
              <w:textAlignment w:val="center"/>
              <w:rPr>
                <w:color w:val="000000"/>
                <w:szCs w:val="21"/>
              </w:rPr>
            </w:pPr>
            <w:r>
              <w:rPr>
                <w:color w:val="000000"/>
                <w:szCs w:val="21"/>
              </w:rPr>
              <w:t>管电压150kV 管电流800mA</w:t>
            </w:r>
          </w:p>
        </w:tc>
        <w:tc>
          <w:tcPr>
            <w:tcW w:w="0" w:type="auto"/>
            <w:vAlign w:val="center"/>
          </w:tcPr>
          <w:p w14:paraId="0FB72474">
            <w:pPr>
              <w:widowControl/>
              <w:jc w:val="center"/>
              <w:textAlignment w:val="center"/>
              <w:rPr>
                <w:color w:val="000000"/>
                <w:szCs w:val="21"/>
              </w:rPr>
            </w:pPr>
            <w:r>
              <w:rPr>
                <w:color w:val="000000"/>
                <w:szCs w:val="21"/>
              </w:rPr>
              <w:t>北京岛津</w:t>
            </w:r>
          </w:p>
        </w:tc>
      </w:tr>
      <w:tr w14:paraId="2CE1B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350526D">
            <w:pPr>
              <w:widowControl/>
              <w:jc w:val="center"/>
              <w:textAlignment w:val="center"/>
              <w:rPr>
                <w:b/>
                <w:color w:val="000000"/>
                <w:szCs w:val="21"/>
              </w:rPr>
            </w:pPr>
            <w:r>
              <w:rPr>
                <w:b/>
                <w:color w:val="000000"/>
                <w:kern w:val="0"/>
                <w:szCs w:val="21"/>
                <w:lang w:bidi="ar"/>
              </w:rPr>
              <w:t>7</w:t>
            </w:r>
          </w:p>
        </w:tc>
        <w:tc>
          <w:tcPr>
            <w:tcW w:w="0" w:type="auto"/>
            <w:vMerge w:val="continue"/>
            <w:vAlign w:val="center"/>
          </w:tcPr>
          <w:p w14:paraId="4B76F624">
            <w:pPr>
              <w:widowControl/>
              <w:jc w:val="center"/>
              <w:textAlignment w:val="center"/>
              <w:rPr>
                <w:color w:val="000000"/>
                <w:szCs w:val="21"/>
              </w:rPr>
            </w:pPr>
          </w:p>
        </w:tc>
        <w:tc>
          <w:tcPr>
            <w:tcW w:w="0" w:type="auto"/>
          </w:tcPr>
          <w:p w14:paraId="2DCD950D">
            <w:pPr>
              <w:widowControl/>
              <w:jc w:val="center"/>
              <w:textAlignment w:val="center"/>
              <w:rPr>
                <w:color w:val="000000"/>
                <w:szCs w:val="21"/>
              </w:rPr>
            </w:pPr>
            <w:r>
              <w:rPr>
                <w:color w:val="000000"/>
                <w:szCs w:val="21"/>
              </w:rPr>
              <w:t>医用诊断X射线装置</w:t>
            </w:r>
          </w:p>
        </w:tc>
        <w:tc>
          <w:tcPr>
            <w:tcW w:w="0" w:type="auto"/>
          </w:tcPr>
          <w:p w14:paraId="42DBE29F">
            <w:pPr>
              <w:widowControl/>
              <w:jc w:val="center"/>
              <w:textAlignment w:val="center"/>
              <w:rPr>
                <w:color w:val="000000"/>
                <w:szCs w:val="21"/>
              </w:rPr>
            </w:pPr>
            <w:r>
              <w:rPr>
                <w:color w:val="000000"/>
                <w:szCs w:val="21"/>
              </w:rPr>
              <w:t>III类</w:t>
            </w:r>
          </w:p>
        </w:tc>
        <w:tc>
          <w:tcPr>
            <w:tcW w:w="0" w:type="auto"/>
            <w:vAlign w:val="center"/>
          </w:tcPr>
          <w:p w14:paraId="0891D1DF">
            <w:pPr>
              <w:widowControl/>
              <w:jc w:val="center"/>
              <w:textAlignment w:val="center"/>
              <w:rPr>
                <w:color w:val="000000"/>
                <w:kern w:val="0"/>
                <w:szCs w:val="21"/>
                <w:lang w:bidi="ar"/>
              </w:rPr>
            </w:pPr>
            <w:r>
              <w:rPr>
                <w:szCs w:val="21"/>
              </w:rPr>
              <w:t>使用</w:t>
            </w:r>
          </w:p>
        </w:tc>
        <w:tc>
          <w:tcPr>
            <w:tcW w:w="0" w:type="auto"/>
            <w:vAlign w:val="center"/>
          </w:tcPr>
          <w:p w14:paraId="5D2CFEE6">
            <w:pPr>
              <w:jc w:val="center"/>
              <w:rPr>
                <w:szCs w:val="21"/>
              </w:rPr>
            </w:pPr>
            <w:r>
              <w:rPr>
                <w:szCs w:val="21"/>
              </w:rPr>
              <w:t>1</w:t>
            </w:r>
          </w:p>
        </w:tc>
        <w:tc>
          <w:tcPr>
            <w:tcW w:w="0" w:type="auto"/>
            <w:vAlign w:val="center"/>
          </w:tcPr>
          <w:p w14:paraId="223BA1D0">
            <w:pPr>
              <w:widowControl/>
              <w:jc w:val="center"/>
              <w:textAlignment w:val="center"/>
              <w:rPr>
                <w:color w:val="000000"/>
                <w:szCs w:val="21"/>
              </w:rPr>
            </w:pPr>
            <w:r>
              <w:rPr>
                <w:color w:val="000000"/>
                <w:szCs w:val="21"/>
              </w:rPr>
              <w:t>DR机</w:t>
            </w:r>
          </w:p>
        </w:tc>
        <w:tc>
          <w:tcPr>
            <w:tcW w:w="0" w:type="auto"/>
            <w:vAlign w:val="center"/>
          </w:tcPr>
          <w:p w14:paraId="64BB5D63">
            <w:pPr>
              <w:widowControl/>
              <w:jc w:val="center"/>
              <w:textAlignment w:val="center"/>
              <w:rPr>
                <w:color w:val="000000"/>
                <w:szCs w:val="21"/>
              </w:rPr>
            </w:pPr>
            <w:r>
              <w:rPr>
                <w:color w:val="000000"/>
                <w:szCs w:val="21"/>
              </w:rPr>
              <w:t>Multix Fusion Max</w:t>
            </w:r>
          </w:p>
        </w:tc>
        <w:tc>
          <w:tcPr>
            <w:tcW w:w="0" w:type="auto"/>
            <w:vAlign w:val="center"/>
          </w:tcPr>
          <w:p w14:paraId="02FA7AFB">
            <w:pPr>
              <w:jc w:val="center"/>
              <w:rPr>
                <w:color w:val="000000"/>
                <w:szCs w:val="21"/>
              </w:rPr>
            </w:pPr>
            <w:r>
              <w:rPr>
                <w:color w:val="000000"/>
                <w:szCs w:val="21"/>
              </w:rPr>
              <w:t>40311</w:t>
            </w:r>
          </w:p>
        </w:tc>
        <w:tc>
          <w:tcPr>
            <w:tcW w:w="0" w:type="auto"/>
            <w:vAlign w:val="center"/>
          </w:tcPr>
          <w:p w14:paraId="5E4CA4C1">
            <w:pPr>
              <w:jc w:val="center"/>
              <w:rPr>
                <w:color w:val="000000"/>
                <w:szCs w:val="21"/>
              </w:rPr>
            </w:pPr>
            <w:r>
              <w:rPr>
                <w:color w:val="000000"/>
                <w:szCs w:val="21"/>
              </w:rPr>
              <w:t>管电压150kV 管电流1000mA</w:t>
            </w:r>
          </w:p>
        </w:tc>
        <w:tc>
          <w:tcPr>
            <w:tcW w:w="0" w:type="auto"/>
            <w:vAlign w:val="center"/>
          </w:tcPr>
          <w:p w14:paraId="3D597B73">
            <w:pPr>
              <w:jc w:val="center"/>
              <w:rPr>
                <w:color w:val="000000"/>
                <w:szCs w:val="21"/>
              </w:rPr>
            </w:pPr>
            <w:r>
              <w:rPr>
                <w:color w:val="000000"/>
                <w:szCs w:val="21"/>
              </w:rPr>
              <w:t>西门子</w:t>
            </w:r>
          </w:p>
        </w:tc>
      </w:tr>
      <w:tr w14:paraId="06287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9D6AEE0">
            <w:pPr>
              <w:widowControl/>
              <w:jc w:val="center"/>
              <w:textAlignment w:val="center"/>
              <w:rPr>
                <w:b/>
                <w:color w:val="000000"/>
                <w:szCs w:val="21"/>
              </w:rPr>
            </w:pPr>
            <w:r>
              <w:rPr>
                <w:b/>
                <w:color w:val="000000"/>
                <w:kern w:val="0"/>
                <w:szCs w:val="21"/>
                <w:lang w:bidi="ar"/>
              </w:rPr>
              <w:t>8</w:t>
            </w:r>
          </w:p>
        </w:tc>
        <w:tc>
          <w:tcPr>
            <w:tcW w:w="0" w:type="auto"/>
            <w:vMerge w:val="continue"/>
            <w:vAlign w:val="center"/>
          </w:tcPr>
          <w:p w14:paraId="6BFFA46F">
            <w:pPr>
              <w:jc w:val="center"/>
              <w:rPr>
                <w:szCs w:val="21"/>
              </w:rPr>
            </w:pPr>
          </w:p>
        </w:tc>
        <w:tc>
          <w:tcPr>
            <w:tcW w:w="0" w:type="auto"/>
          </w:tcPr>
          <w:p w14:paraId="49542717">
            <w:pPr>
              <w:widowControl/>
              <w:jc w:val="center"/>
              <w:textAlignment w:val="center"/>
              <w:rPr>
                <w:color w:val="000000"/>
                <w:szCs w:val="21"/>
              </w:rPr>
            </w:pPr>
            <w:r>
              <w:rPr>
                <w:color w:val="000000"/>
                <w:szCs w:val="21"/>
              </w:rPr>
              <w:t>医用诊断X射线装置</w:t>
            </w:r>
          </w:p>
        </w:tc>
        <w:tc>
          <w:tcPr>
            <w:tcW w:w="0" w:type="auto"/>
          </w:tcPr>
          <w:p w14:paraId="3C6C856E">
            <w:pPr>
              <w:widowControl/>
              <w:jc w:val="center"/>
              <w:textAlignment w:val="center"/>
              <w:rPr>
                <w:color w:val="000000"/>
                <w:szCs w:val="21"/>
              </w:rPr>
            </w:pPr>
            <w:r>
              <w:rPr>
                <w:color w:val="000000"/>
                <w:szCs w:val="21"/>
              </w:rPr>
              <w:t>III类</w:t>
            </w:r>
          </w:p>
        </w:tc>
        <w:tc>
          <w:tcPr>
            <w:tcW w:w="0" w:type="auto"/>
            <w:vAlign w:val="center"/>
          </w:tcPr>
          <w:p w14:paraId="2A47B244">
            <w:pPr>
              <w:widowControl/>
              <w:jc w:val="center"/>
              <w:textAlignment w:val="center"/>
              <w:rPr>
                <w:color w:val="000000"/>
                <w:kern w:val="0"/>
                <w:szCs w:val="21"/>
                <w:lang w:bidi="ar"/>
              </w:rPr>
            </w:pPr>
            <w:r>
              <w:rPr>
                <w:szCs w:val="21"/>
              </w:rPr>
              <w:t>使用</w:t>
            </w:r>
          </w:p>
        </w:tc>
        <w:tc>
          <w:tcPr>
            <w:tcW w:w="0" w:type="auto"/>
            <w:vAlign w:val="center"/>
          </w:tcPr>
          <w:p w14:paraId="1B8EA45C">
            <w:pPr>
              <w:jc w:val="center"/>
              <w:rPr>
                <w:szCs w:val="21"/>
              </w:rPr>
            </w:pPr>
            <w:r>
              <w:rPr>
                <w:szCs w:val="21"/>
              </w:rPr>
              <w:t>1</w:t>
            </w:r>
          </w:p>
        </w:tc>
        <w:tc>
          <w:tcPr>
            <w:tcW w:w="0" w:type="auto"/>
            <w:vAlign w:val="center"/>
          </w:tcPr>
          <w:p w14:paraId="4A44261A">
            <w:pPr>
              <w:widowControl/>
              <w:jc w:val="center"/>
              <w:textAlignment w:val="center"/>
              <w:rPr>
                <w:color w:val="000000"/>
                <w:szCs w:val="21"/>
              </w:rPr>
            </w:pPr>
            <w:r>
              <w:rPr>
                <w:color w:val="000000"/>
                <w:szCs w:val="21"/>
              </w:rPr>
              <w:t>DR机</w:t>
            </w:r>
          </w:p>
        </w:tc>
        <w:tc>
          <w:tcPr>
            <w:tcW w:w="0" w:type="auto"/>
            <w:vAlign w:val="center"/>
          </w:tcPr>
          <w:p w14:paraId="337694A1">
            <w:pPr>
              <w:widowControl/>
              <w:jc w:val="center"/>
              <w:textAlignment w:val="center"/>
              <w:rPr>
                <w:color w:val="000000"/>
                <w:szCs w:val="21"/>
              </w:rPr>
            </w:pPr>
            <w:r>
              <w:rPr>
                <w:color w:val="000000"/>
                <w:szCs w:val="21"/>
              </w:rPr>
              <w:t>DRX-Evolution</w:t>
            </w:r>
          </w:p>
        </w:tc>
        <w:tc>
          <w:tcPr>
            <w:tcW w:w="0" w:type="auto"/>
            <w:vAlign w:val="center"/>
          </w:tcPr>
          <w:p w14:paraId="6730AE84">
            <w:pPr>
              <w:jc w:val="center"/>
              <w:rPr>
                <w:color w:val="000000"/>
                <w:szCs w:val="21"/>
              </w:rPr>
            </w:pPr>
            <w:r>
              <w:rPr>
                <w:color w:val="000000"/>
                <w:szCs w:val="21"/>
              </w:rPr>
              <w:t>4463</w:t>
            </w:r>
          </w:p>
        </w:tc>
        <w:tc>
          <w:tcPr>
            <w:tcW w:w="0" w:type="auto"/>
            <w:vAlign w:val="center"/>
          </w:tcPr>
          <w:p w14:paraId="51A3E979">
            <w:pPr>
              <w:jc w:val="center"/>
              <w:rPr>
                <w:color w:val="000000"/>
                <w:szCs w:val="21"/>
              </w:rPr>
            </w:pPr>
            <w:r>
              <w:rPr>
                <w:color w:val="000000"/>
                <w:szCs w:val="21"/>
              </w:rPr>
              <w:t>管电压150kV 管电流500mA</w:t>
            </w:r>
          </w:p>
        </w:tc>
        <w:tc>
          <w:tcPr>
            <w:tcW w:w="0" w:type="auto"/>
            <w:vAlign w:val="center"/>
          </w:tcPr>
          <w:p w14:paraId="1840B9E6">
            <w:pPr>
              <w:jc w:val="center"/>
              <w:rPr>
                <w:color w:val="000000"/>
                <w:szCs w:val="21"/>
              </w:rPr>
            </w:pPr>
            <w:r>
              <w:rPr>
                <w:color w:val="000000"/>
                <w:szCs w:val="21"/>
              </w:rPr>
              <w:t>锐珂</w:t>
            </w:r>
          </w:p>
        </w:tc>
      </w:tr>
      <w:tr w14:paraId="57E09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9A1FA6B">
            <w:pPr>
              <w:widowControl/>
              <w:jc w:val="center"/>
              <w:textAlignment w:val="center"/>
              <w:rPr>
                <w:b/>
                <w:color w:val="000000"/>
                <w:szCs w:val="21"/>
              </w:rPr>
            </w:pPr>
            <w:r>
              <w:rPr>
                <w:b/>
                <w:color w:val="000000"/>
                <w:kern w:val="0"/>
                <w:szCs w:val="21"/>
                <w:lang w:bidi="ar"/>
              </w:rPr>
              <w:t>9</w:t>
            </w:r>
          </w:p>
        </w:tc>
        <w:tc>
          <w:tcPr>
            <w:tcW w:w="0" w:type="auto"/>
            <w:vMerge w:val="continue"/>
            <w:vAlign w:val="center"/>
          </w:tcPr>
          <w:p w14:paraId="3610B383">
            <w:pPr>
              <w:jc w:val="center"/>
              <w:rPr>
                <w:szCs w:val="21"/>
              </w:rPr>
            </w:pPr>
          </w:p>
        </w:tc>
        <w:tc>
          <w:tcPr>
            <w:tcW w:w="0" w:type="auto"/>
          </w:tcPr>
          <w:p w14:paraId="39C37DDC">
            <w:pPr>
              <w:widowControl/>
              <w:jc w:val="center"/>
              <w:textAlignment w:val="center"/>
              <w:rPr>
                <w:color w:val="000000"/>
                <w:szCs w:val="21"/>
              </w:rPr>
            </w:pPr>
            <w:r>
              <w:rPr>
                <w:color w:val="000000"/>
                <w:szCs w:val="21"/>
              </w:rPr>
              <w:t>医用诊断X射线装置</w:t>
            </w:r>
          </w:p>
        </w:tc>
        <w:tc>
          <w:tcPr>
            <w:tcW w:w="0" w:type="auto"/>
          </w:tcPr>
          <w:p w14:paraId="1BC02F86">
            <w:pPr>
              <w:widowControl/>
              <w:jc w:val="center"/>
              <w:textAlignment w:val="center"/>
              <w:rPr>
                <w:color w:val="000000"/>
                <w:szCs w:val="21"/>
              </w:rPr>
            </w:pPr>
            <w:r>
              <w:rPr>
                <w:color w:val="000000"/>
                <w:szCs w:val="21"/>
              </w:rPr>
              <w:t>III类</w:t>
            </w:r>
          </w:p>
        </w:tc>
        <w:tc>
          <w:tcPr>
            <w:tcW w:w="0" w:type="auto"/>
            <w:vAlign w:val="center"/>
          </w:tcPr>
          <w:p w14:paraId="36EBEFE9">
            <w:pPr>
              <w:widowControl/>
              <w:jc w:val="center"/>
              <w:textAlignment w:val="center"/>
              <w:rPr>
                <w:color w:val="000000"/>
                <w:kern w:val="0"/>
                <w:szCs w:val="21"/>
                <w:lang w:bidi="ar"/>
              </w:rPr>
            </w:pPr>
            <w:r>
              <w:rPr>
                <w:szCs w:val="21"/>
              </w:rPr>
              <w:t>使用</w:t>
            </w:r>
          </w:p>
        </w:tc>
        <w:tc>
          <w:tcPr>
            <w:tcW w:w="0" w:type="auto"/>
            <w:vAlign w:val="center"/>
          </w:tcPr>
          <w:p w14:paraId="145F9B62">
            <w:pPr>
              <w:jc w:val="center"/>
              <w:rPr>
                <w:szCs w:val="21"/>
              </w:rPr>
            </w:pPr>
            <w:r>
              <w:rPr>
                <w:szCs w:val="21"/>
              </w:rPr>
              <w:t>1</w:t>
            </w:r>
          </w:p>
        </w:tc>
        <w:tc>
          <w:tcPr>
            <w:tcW w:w="0" w:type="auto"/>
            <w:vAlign w:val="center"/>
          </w:tcPr>
          <w:p w14:paraId="32D8BAFF">
            <w:pPr>
              <w:widowControl/>
              <w:jc w:val="center"/>
              <w:textAlignment w:val="center"/>
              <w:rPr>
                <w:color w:val="000000"/>
                <w:szCs w:val="21"/>
              </w:rPr>
            </w:pPr>
            <w:r>
              <w:rPr>
                <w:color w:val="000000"/>
                <w:szCs w:val="21"/>
              </w:rPr>
              <w:t>DR机</w:t>
            </w:r>
          </w:p>
        </w:tc>
        <w:tc>
          <w:tcPr>
            <w:tcW w:w="0" w:type="auto"/>
            <w:vAlign w:val="center"/>
          </w:tcPr>
          <w:p w14:paraId="3F8A8B8C">
            <w:pPr>
              <w:widowControl/>
              <w:jc w:val="center"/>
              <w:textAlignment w:val="center"/>
              <w:rPr>
                <w:color w:val="000000"/>
                <w:szCs w:val="21"/>
              </w:rPr>
            </w:pPr>
            <w:r>
              <w:rPr>
                <w:color w:val="000000"/>
                <w:szCs w:val="21"/>
              </w:rPr>
              <w:t>Digital Diagnost4</w:t>
            </w:r>
          </w:p>
        </w:tc>
        <w:tc>
          <w:tcPr>
            <w:tcW w:w="0" w:type="auto"/>
            <w:vAlign w:val="center"/>
          </w:tcPr>
          <w:p w14:paraId="41185B91">
            <w:pPr>
              <w:jc w:val="center"/>
              <w:rPr>
                <w:color w:val="000000"/>
                <w:szCs w:val="21"/>
              </w:rPr>
            </w:pPr>
            <w:r>
              <w:rPr>
                <w:color w:val="000000"/>
                <w:szCs w:val="21"/>
              </w:rPr>
              <w:t>21860014</w:t>
            </w:r>
          </w:p>
        </w:tc>
        <w:tc>
          <w:tcPr>
            <w:tcW w:w="0" w:type="auto"/>
            <w:vAlign w:val="center"/>
          </w:tcPr>
          <w:p w14:paraId="5E7D9E1E">
            <w:pPr>
              <w:jc w:val="center"/>
              <w:rPr>
                <w:color w:val="000000"/>
                <w:szCs w:val="21"/>
              </w:rPr>
            </w:pPr>
            <w:r>
              <w:rPr>
                <w:color w:val="000000"/>
                <w:szCs w:val="21"/>
              </w:rPr>
              <w:t>管电压150kV 管电流1000mA</w:t>
            </w:r>
          </w:p>
        </w:tc>
        <w:tc>
          <w:tcPr>
            <w:tcW w:w="0" w:type="auto"/>
            <w:vAlign w:val="center"/>
          </w:tcPr>
          <w:p w14:paraId="1427D9F0">
            <w:pPr>
              <w:jc w:val="center"/>
              <w:rPr>
                <w:color w:val="000000"/>
                <w:szCs w:val="21"/>
              </w:rPr>
            </w:pPr>
            <w:r>
              <w:rPr>
                <w:color w:val="000000"/>
                <w:szCs w:val="21"/>
              </w:rPr>
              <w:t>飞利浦</w:t>
            </w:r>
          </w:p>
        </w:tc>
      </w:tr>
      <w:tr w14:paraId="606EC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EB5FE94">
            <w:pPr>
              <w:widowControl/>
              <w:jc w:val="center"/>
              <w:textAlignment w:val="center"/>
              <w:rPr>
                <w:b/>
                <w:color w:val="000000"/>
                <w:szCs w:val="21"/>
              </w:rPr>
            </w:pPr>
            <w:r>
              <w:rPr>
                <w:b/>
                <w:color w:val="000000"/>
                <w:kern w:val="0"/>
                <w:szCs w:val="21"/>
                <w:lang w:bidi="ar"/>
              </w:rPr>
              <w:t>10</w:t>
            </w:r>
          </w:p>
        </w:tc>
        <w:tc>
          <w:tcPr>
            <w:tcW w:w="0" w:type="auto"/>
            <w:vMerge w:val="continue"/>
            <w:vAlign w:val="center"/>
          </w:tcPr>
          <w:p w14:paraId="06F456E6">
            <w:pPr>
              <w:widowControl/>
              <w:jc w:val="center"/>
              <w:textAlignment w:val="center"/>
              <w:rPr>
                <w:color w:val="000000"/>
                <w:szCs w:val="21"/>
              </w:rPr>
            </w:pPr>
          </w:p>
        </w:tc>
        <w:tc>
          <w:tcPr>
            <w:tcW w:w="0" w:type="auto"/>
          </w:tcPr>
          <w:p w14:paraId="66B674F1">
            <w:pPr>
              <w:widowControl/>
              <w:jc w:val="center"/>
              <w:textAlignment w:val="center"/>
              <w:rPr>
                <w:color w:val="000000"/>
                <w:szCs w:val="21"/>
              </w:rPr>
            </w:pPr>
            <w:r>
              <w:rPr>
                <w:color w:val="000000"/>
                <w:szCs w:val="21"/>
              </w:rPr>
              <w:t>医用诊断X射线装置</w:t>
            </w:r>
          </w:p>
        </w:tc>
        <w:tc>
          <w:tcPr>
            <w:tcW w:w="0" w:type="auto"/>
          </w:tcPr>
          <w:p w14:paraId="00B13505">
            <w:pPr>
              <w:widowControl/>
              <w:jc w:val="center"/>
              <w:textAlignment w:val="center"/>
              <w:rPr>
                <w:color w:val="000000"/>
                <w:szCs w:val="21"/>
              </w:rPr>
            </w:pPr>
            <w:r>
              <w:rPr>
                <w:color w:val="000000"/>
                <w:szCs w:val="21"/>
              </w:rPr>
              <w:t>III类</w:t>
            </w:r>
          </w:p>
        </w:tc>
        <w:tc>
          <w:tcPr>
            <w:tcW w:w="0" w:type="auto"/>
            <w:vAlign w:val="center"/>
          </w:tcPr>
          <w:p w14:paraId="294BB0C6">
            <w:pPr>
              <w:widowControl/>
              <w:jc w:val="center"/>
              <w:textAlignment w:val="center"/>
              <w:rPr>
                <w:color w:val="000000"/>
                <w:kern w:val="0"/>
                <w:szCs w:val="21"/>
                <w:lang w:bidi="ar"/>
              </w:rPr>
            </w:pPr>
            <w:r>
              <w:rPr>
                <w:szCs w:val="21"/>
              </w:rPr>
              <w:t>使用</w:t>
            </w:r>
          </w:p>
        </w:tc>
        <w:tc>
          <w:tcPr>
            <w:tcW w:w="0" w:type="auto"/>
            <w:vAlign w:val="center"/>
          </w:tcPr>
          <w:p w14:paraId="57C958FF">
            <w:pPr>
              <w:jc w:val="center"/>
              <w:rPr>
                <w:szCs w:val="21"/>
              </w:rPr>
            </w:pPr>
            <w:r>
              <w:rPr>
                <w:szCs w:val="21"/>
              </w:rPr>
              <w:t>1</w:t>
            </w:r>
          </w:p>
        </w:tc>
        <w:tc>
          <w:tcPr>
            <w:tcW w:w="0" w:type="auto"/>
            <w:vAlign w:val="center"/>
          </w:tcPr>
          <w:p w14:paraId="62681566">
            <w:pPr>
              <w:widowControl/>
              <w:jc w:val="center"/>
              <w:textAlignment w:val="center"/>
              <w:rPr>
                <w:color w:val="000000"/>
                <w:szCs w:val="21"/>
              </w:rPr>
            </w:pPr>
            <w:r>
              <w:rPr>
                <w:color w:val="000000"/>
                <w:szCs w:val="21"/>
              </w:rPr>
              <w:t>移动DR机</w:t>
            </w:r>
          </w:p>
        </w:tc>
        <w:tc>
          <w:tcPr>
            <w:tcW w:w="0" w:type="auto"/>
            <w:vAlign w:val="center"/>
          </w:tcPr>
          <w:p w14:paraId="4E09DBA5">
            <w:pPr>
              <w:widowControl/>
              <w:jc w:val="center"/>
              <w:textAlignment w:val="center"/>
              <w:rPr>
                <w:color w:val="000000"/>
                <w:szCs w:val="21"/>
              </w:rPr>
            </w:pPr>
            <w:r>
              <w:rPr>
                <w:color w:val="000000"/>
                <w:szCs w:val="21"/>
              </w:rPr>
              <w:t>Mobilett Mira Max</w:t>
            </w:r>
          </w:p>
        </w:tc>
        <w:tc>
          <w:tcPr>
            <w:tcW w:w="0" w:type="auto"/>
            <w:vAlign w:val="center"/>
          </w:tcPr>
          <w:p w14:paraId="6B3C30DD">
            <w:pPr>
              <w:jc w:val="center"/>
              <w:rPr>
                <w:szCs w:val="21"/>
              </w:rPr>
            </w:pPr>
            <w:r>
              <w:rPr>
                <w:szCs w:val="21"/>
              </w:rPr>
              <w:t>4253</w:t>
            </w:r>
          </w:p>
        </w:tc>
        <w:tc>
          <w:tcPr>
            <w:tcW w:w="0" w:type="auto"/>
            <w:vAlign w:val="center"/>
          </w:tcPr>
          <w:p w14:paraId="7F2B8C03">
            <w:pPr>
              <w:jc w:val="center"/>
              <w:rPr>
                <w:szCs w:val="21"/>
              </w:rPr>
            </w:pPr>
            <w:r>
              <w:rPr>
                <w:szCs w:val="21"/>
              </w:rPr>
              <w:t>管电压133kV 管电流450mA</w:t>
            </w:r>
          </w:p>
        </w:tc>
        <w:tc>
          <w:tcPr>
            <w:tcW w:w="0" w:type="auto"/>
            <w:vAlign w:val="center"/>
          </w:tcPr>
          <w:p w14:paraId="44A74780">
            <w:pPr>
              <w:jc w:val="center"/>
              <w:rPr>
                <w:szCs w:val="21"/>
              </w:rPr>
            </w:pPr>
            <w:r>
              <w:rPr>
                <w:szCs w:val="21"/>
              </w:rPr>
              <w:t>西门子</w:t>
            </w:r>
          </w:p>
        </w:tc>
      </w:tr>
      <w:tr w14:paraId="74093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16190901">
            <w:pPr>
              <w:widowControl/>
              <w:jc w:val="center"/>
              <w:textAlignment w:val="center"/>
              <w:rPr>
                <w:b/>
                <w:color w:val="000000"/>
                <w:szCs w:val="21"/>
              </w:rPr>
            </w:pPr>
            <w:r>
              <w:rPr>
                <w:b/>
                <w:color w:val="000000"/>
                <w:kern w:val="0"/>
                <w:szCs w:val="21"/>
                <w:lang w:bidi="ar"/>
              </w:rPr>
              <w:t>11</w:t>
            </w:r>
          </w:p>
        </w:tc>
        <w:tc>
          <w:tcPr>
            <w:tcW w:w="0" w:type="auto"/>
            <w:vMerge w:val="continue"/>
            <w:vAlign w:val="center"/>
          </w:tcPr>
          <w:p w14:paraId="597B34DE">
            <w:pPr>
              <w:widowControl/>
              <w:jc w:val="center"/>
              <w:textAlignment w:val="center"/>
              <w:rPr>
                <w:color w:val="000000"/>
                <w:szCs w:val="21"/>
              </w:rPr>
            </w:pPr>
          </w:p>
        </w:tc>
        <w:tc>
          <w:tcPr>
            <w:tcW w:w="0" w:type="auto"/>
          </w:tcPr>
          <w:p w14:paraId="66A809C1">
            <w:pPr>
              <w:widowControl/>
              <w:jc w:val="center"/>
              <w:textAlignment w:val="center"/>
              <w:rPr>
                <w:color w:val="000000"/>
                <w:szCs w:val="21"/>
              </w:rPr>
            </w:pPr>
            <w:r>
              <w:rPr>
                <w:color w:val="000000"/>
                <w:szCs w:val="21"/>
              </w:rPr>
              <w:t>医用诊断X射线装置</w:t>
            </w:r>
          </w:p>
        </w:tc>
        <w:tc>
          <w:tcPr>
            <w:tcW w:w="0" w:type="auto"/>
          </w:tcPr>
          <w:p w14:paraId="578B1A89">
            <w:pPr>
              <w:widowControl/>
              <w:jc w:val="center"/>
              <w:textAlignment w:val="center"/>
              <w:rPr>
                <w:color w:val="000000"/>
                <w:szCs w:val="21"/>
              </w:rPr>
            </w:pPr>
            <w:r>
              <w:rPr>
                <w:color w:val="000000"/>
                <w:szCs w:val="21"/>
              </w:rPr>
              <w:t>III类</w:t>
            </w:r>
          </w:p>
        </w:tc>
        <w:tc>
          <w:tcPr>
            <w:tcW w:w="0" w:type="auto"/>
            <w:vAlign w:val="center"/>
          </w:tcPr>
          <w:p w14:paraId="0E85E96B">
            <w:pPr>
              <w:widowControl/>
              <w:jc w:val="center"/>
              <w:textAlignment w:val="center"/>
              <w:rPr>
                <w:color w:val="000000"/>
                <w:kern w:val="0"/>
                <w:szCs w:val="21"/>
                <w:lang w:bidi="ar"/>
              </w:rPr>
            </w:pPr>
            <w:r>
              <w:rPr>
                <w:szCs w:val="21"/>
              </w:rPr>
              <w:t>使用</w:t>
            </w:r>
          </w:p>
        </w:tc>
        <w:tc>
          <w:tcPr>
            <w:tcW w:w="0" w:type="auto"/>
            <w:vAlign w:val="center"/>
          </w:tcPr>
          <w:p w14:paraId="425853B6">
            <w:pPr>
              <w:jc w:val="center"/>
              <w:rPr>
                <w:szCs w:val="21"/>
              </w:rPr>
            </w:pPr>
            <w:r>
              <w:rPr>
                <w:szCs w:val="21"/>
              </w:rPr>
              <w:t>1</w:t>
            </w:r>
          </w:p>
        </w:tc>
        <w:tc>
          <w:tcPr>
            <w:tcW w:w="0" w:type="auto"/>
            <w:vAlign w:val="center"/>
          </w:tcPr>
          <w:p w14:paraId="51903C8A">
            <w:pPr>
              <w:widowControl/>
              <w:jc w:val="center"/>
              <w:textAlignment w:val="center"/>
              <w:rPr>
                <w:color w:val="000000"/>
                <w:szCs w:val="21"/>
              </w:rPr>
            </w:pPr>
            <w:r>
              <w:rPr>
                <w:color w:val="000000"/>
                <w:szCs w:val="21"/>
              </w:rPr>
              <w:t>乳腺机</w:t>
            </w:r>
          </w:p>
        </w:tc>
        <w:tc>
          <w:tcPr>
            <w:tcW w:w="0" w:type="auto"/>
            <w:vAlign w:val="center"/>
          </w:tcPr>
          <w:p w14:paraId="256F68A7">
            <w:pPr>
              <w:widowControl/>
              <w:jc w:val="center"/>
              <w:textAlignment w:val="center"/>
              <w:rPr>
                <w:color w:val="000000"/>
                <w:szCs w:val="21"/>
              </w:rPr>
            </w:pPr>
            <w:r>
              <w:rPr>
                <w:color w:val="000000"/>
                <w:szCs w:val="21"/>
              </w:rPr>
              <w:t>MAMMO MAT Inspiration</w:t>
            </w:r>
          </w:p>
        </w:tc>
        <w:tc>
          <w:tcPr>
            <w:tcW w:w="0" w:type="auto"/>
            <w:vAlign w:val="center"/>
          </w:tcPr>
          <w:p w14:paraId="3E0EA56F">
            <w:pPr>
              <w:jc w:val="center"/>
              <w:rPr>
                <w:szCs w:val="21"/>
              </w:rPr>
            </w:pPr>
            <w:r>
              <w:rPr>
                <w:szCs w:val="21"/>
              </w:rPr>
              <w:t>6530</w:t>
            </w:r>
          </w:p>
        </w:tc>
        <w:tc>
          <w:tcPr>
            <w:tcW w:w="0" w:type="auto"/>
            <w:vAlign w:val="center"/>
          </w:tcPr>
          <w:p w14:paraId="52ED7A33">
            <w:pPr>
              <w:jc w:val="center"/>
              <w:rPr>
                <w:szCs w:val="21"/>
              </w:rPr>
            </w:pPr>
            <w:r>
              <w:rPr>
                <w:szCs w:val="21"/>
              </w:rPr>
              <w:t>管电压39kV 管电流165mA</w:t>
            </w:r>
          </w:p>
        </w:tc>
        <w:tc>
          <w:tcPr>
            <w:tcW w:w="0" w:type="auto"/>
            <w:vAlign w:val="center"/>
          </w:tcPr>
          <w:p w14:paraId="7B75DF6C">
            <w:pPr>
              <w:jc w:val="center"/>
              <w:rPr>
                <w:szCs w:val="21"/>
              </w:rPr>
            </w:pPr>
            <w:r>
              <w:rPr>
                <w:szCs w:val="21"/>
              </w:rPr>
              <w:t>西门子</w:t>
            </w:r>
          </w:p>
        </w:tc>
      </w:tr>
      <w:tr w14:paraId="6312E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2195B0C7">
            <w:pPr>
              <w:widowControl/>
              <w:jc w:val="center"/>
              <w:textAlignment w:val="center"/>
              <w:rPr>
                <w:b/>
                <w:color w:val="000000"/>
                <w:szCs w:val="21"/>
              </w:rPr>
            </w:pPr>
            <w:r>
              <w:rPr>
                <w:b/>
                <w:color w:val="000000"/>
                <w:szCs w:val="21"/>
              </w:rPr>
              <w:t>12</w:t>
            </w:r>
          </w:p>
        </w:tc>
        <w:tc>
          <w:tcPr>
            <w:tcW w:w="0" w:type="auto"/>
            <w:vMerge w:val="continue"/>
            <w:vAlign w:val="center"/>
          </w:tcPr>
          <w:p w14:paraId="06AB9624">
            <w:pPr>
              <w:widowControl/>
              <w:jc w:val="center"/>
              <w:textAlignment w:val="center"/>
              <w:rPr>
                <w:color w:val="000000"/>
                <w:szCs w:val="21"/>
              </w:rPr>
            </w:pPr>
          </w:p>
        </w:tc>
        <w:tc>
          <w:tcPr>
            <w:tcW w:w="0" w:type="auto"/>
          </w:tcPr>
          <w:p w14:paraId="7FABA05E">
            <w:pPr>
              <w:widowControl/>
              <w:jc w:val="center"/>
              <w:textAlignment w:val="center"/>
              <w:rPr>
                <w:color w:val="000000"/>
                <w:szCs w:val="21"/>
              </w:rPr>
            </w:pPr>
            <w:r>
              <w:rPr>
                <w:color w:val="000000"/>
                <w:szCs w:val="21"/>
              </w:rPr>
              <w:t>医用诊断X射线装置</w:t>
            </w:r>
          </w:p>
        </w:tc>
        <w:tc>
          <w:tcPr>
            <w:tcW w:w="0" w:type="auto"/>
          </w:tcPr>
          <w:p w14:paraId="76342650">
            <w:pPr>
              <w:widowControl/>
              <w:jc w:val="center"/>
              <w:textAlignment w:val="center"/>
              <w:rPr>
                <w:color w:val="000000"/>
                <w:szCs w:val="21"/>
              </w:rPr>
            </w:pPr>
            <w:r>
              <w:rPr>
                <w:color w:val="000000"/>
                <w:szCs w:val="21"/>
              </w:rPr>
              <w:t>III类</w:t>
            </w:r>
          </w:p>
        </w:tc>
        <w:tc>
          <w:tcPr>
            <w:tcW w:w="0" w:type="auto"/>
            <w:vAlign w:val="center"/>
          </w:tcPr>
          <w:p w14:paraId="49AEC81E">
            <w:pPr>
              <w:widowControl/>
              <w:jc w:val="center"/>
              <w:textAlignment w:val="center"/>
              <w:rPr>
                <w:color w:val="000000"/>
                <w:kern w:val="0"/>
                <w:szCs w:val="21"/>
                <w:lang w:bidi="ar"/>
              </w:rPr>
            </w:pPr>
            <w:r>
              <w:rPr>
                <w:szCs w:val="21"/>
              </w:rPr>
              <w:t>使用</w:t>
            </w:r>
          </w:p>
        </w:tc>
        <w:tc>
          <w:tcPr>
            <w:tcW w:w="0" w:type="auto"/>
            <w:vAlign w:val="center"/>
          </w:tcPr>
          <w:p w14:paraId="514006E1">
            <w:pPr>
              <w:jc w:val="center"/>
              <w:rPr>
                <w:szCs w:val="21"/>
              </w:rPr>
            </w:pPr>
            <w:r>
              <w:rPr>
                <w:szCs w:val="21"/>
              </w:rPr>
              <w:t>1</w:t>
            </w:r>
          </w:p>
        </w:tc>
        <w:tc>
          <w:tcPr>
            <w:tcW w:w="0" w:type="auto"/>
            <w:vAlign w:val="center"/>
          </w:tcPr>
          <w:p w14:paraId="2054D9BB">
            <w:pPr>
              <w:widowControl/>
              <w:jc w:val="center"/>
              <w:textAlignment w:val="center"/>
              <w:rPr>
                <w:color w:val="000000"/>
                <w:szCs w:val="21"/>
              </w:rPr>
            </w:pPr>
            <w:r>
              <w:rPr>
                <w:color w:val="000000"/>
                <w:szCs w:val="21"/>
              </w:rPr>
              <w:t>DR机</w:t>
            </w:r>
          </w:p>
        </w:tc>
        <w:tc>
          <w:tcPr>
            <w:tcW w:w="0" w:type="auto"/>
            <w:vAlign w:val="center"/>
          </w:tcPr>
          <w:p w14:paraId="7231954D">
            <w:pPr>
              <w:widowControl/>
              <w:jc w:val="center"/>
              <w:textAlignment w:val="center"/>
              <w:rPr>
                <w:color w:val="000000"/>
                <w:szCs w:val="21"/>
              </w:rPr>
            </w:pPr>
            <w:r>
              <w:rPr>
                <w:color w:val="000000"/>
                <w:szCs w:val="21"/>
              </w:rPr>
              <w:t>Digital Diagnost</w:t>
            </w:r>
          </w:p>
        </w:tc>
        <w:tc>
          <w:tcPr>
            <w:tcW w:w="0" w:type="auto"/>
            <w:vAlign w:val="center"/>
          </w:tcPr>
          <w:p w14:paraId="733997EA">
            <w:pPr>
              <w:jc w:val="center"/>
              <w:rPr>
                <w:szCs w:val="21"/>
              </w:rPr>
            </w:pPr>
            <w:r>
              <w:rPr>
                <w:szCs w:val="21"/>
              </w:rPr>
              <w:t>13000052</w:t>
            </w:r>
          </w:p>
        </w:tc>
        <w:tc>
          <w:tcPr>
            <w:tcW w:w="0" w:type="auto"/>
            <w:vAlign w:val="center"/>
          </w:tcPr>
          <w:p w14:paraId="0385F069">
            <w:pPr>
              <w:jc w:val="center"/>
              <w:rPr>
                <w:szCs w:val="21"/>
              </w:rPr>
            </w:pPr>
            <w:r>
              <w:rPr>
                <w:szCs w:val="21"/>
              </w:rPr>
              <w:t>管电压150kV 管电流800mA</w:t>
            </w:r>
          </w:p>
        </w:tc>
        <w:tc>
          <w:tcPr>
            <w:tcW w:w="0" w:type="auto"/>
            <w:vAlign w:val="center"/>
          </w:tcPr>
          <w:p w14:paraId="44649E1F">
            <w:pPr>
              <w:jc w:val="center"/>
              <w:rPr>
                <w:szCs w:val="21"/>
              </w:rPr>
            </w:pPr>
            <w:r>
              <w:rPr>
                <w:szCs w:val="21"/>
              </w:rPr>
              <w:t>飞利浦</w:t>
            </w:r>
          </w:p>
        </w:tc>
      </w:tr>
      <w:tr w14:paraId="09E22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7CEFDE6">
            <w:pPr>
              <w:widowControl/>
              <w:jc w:val="center"/>
              <w:textAlignment w:val="center"/>
              <w:rPr>
                <w:b/>
                <w:color w:val="000000"/>
                <w:szCs w:val="21"/>
              </w:rPr>
            </w:pPr>
            <w:r>
              <w:rPr>
                <w:b/>
                <w:color w:val="000000"/>
                <w:szCs w:val="21"/>
              </w:rPr>
              <w:t>13</w:t>
            </w:r>
          </w:p>
        </w:tc>
        <w:tc>
          <w:tcPr>
            <w:tcW w:w="0" w:type="auto"/>
            <w:vMerge w:val="continue"/>
            <w:vAlign w:val="center"/>
          </w:tcPr>
          <w:p w14:paraId="0AEF4DA7">
            <w:pPr>
              <w:widowControl/>
              <w:jc w:val="center"/>
              <w:textAlignment w:val="center"/>
              <w:rPr>
                <w:color w:val="000000"/>
                <w:szCs w:val="21"/>
              </w:rPr>
            </w:pPr>
          </w:p>
        </w:tc>
        <w:tc>
          <w:tcPr>
            <w:tcW w:w="0" w:type="auto"/>
          </w:tcPr>
          <w:p w14:paraId="1982C521">
            <w:pPr>
              <w:widowControl/>
              <w:jc w:val="center"/>
              <w:textAlignment w:val="center"/>
              <w:rPr>
                <w:color w:val="000000"/>
                <w:szCs w:val="21"/>
              </w:rPr>
            </w:pPr>
            <w:r>
              <w:rPr>
                <w:color w:val="000000"/>
                <w:szCs w:val="21"/>
              </w:rPr>
              <w:t>医用诊断X射线装置</w:t>
            </w:r>
          </w:p>
        </w:tc>
        <w:tc>
          <w:tcPr>
            <w:tcW w:w="0" w:type="auto"/>
          </w:tcPr>
          <w:p w14:paraId="48D14513">
            <w:pPr>
              <w:widowControl/>
              <w:jc w:val="center"/>
              <w:textAlignment w:val="center"/>
              <w:rPr>
                <w:color w:val="000000"/>
                <w:szCs w:val="21"/>
              </w:rPr>
            </w:pPr>
            <w:r>
              <w:rPr>
                <w:color w:val="000000"/>
                <w:szCs w:val="21"/>
              </w:rPr>
              <w:t>III类</w:t>
            </w:r>
          </w:p>
        </w:tc>
        <w:tc>
          <w:tcPr>
            <w:tcW w:w="0" w:type="auto"/>
            <w:vAlign w:val="center"/>
          </w:tcPr>
          <w:p w14:paraId="1F53CBB0">
            <w:pPr>
              <w:widowControl/>
              <w:jc w:val="center"/>
              <w:textAlignment w:val="center"/>
              <w:rPr>
                <w:color w:val="000000"/>
                <w:kern w:val="0"/>
                <w:szCs w:val="21"/>
                <w:lang w:bidi="ar"/>
              </w:rPr>
            </w:pPr>
            <w:r>
              <w:rPr>
                <w:szCs w:val="21"/>
              </w:rPr>
              <w:t>使用</w:t>
            </w:r>
          </w:p>
        </w:tc>
        <w:tc>
          <w:tcPr>
            <w:tcW w:w="0" w:type="auto"/>
            <w:vAlign w:val="center"/>
          </w:tcPr>
          <w:p w14:paraId="6CB9D3FC">
            <w:pPr>
              <w:widowControl/>
              <w:jc w:val="center"/>
              <w:textAlignment w:val="center"/>
              <w:rPr>
                <w:color w:val="000000"/>
                <w:kern w:val="0"/>
                <w:szCs w:val="21"/>
                <w:lang w:bidi="ar"/>
              </w:rPr>
            </w:pPr>
            <w:r>
              <w:rPr>
                <w:szCs w:val="21"/>
              </w:rPr>
              <w:t>1</w:t>
            </w:r>
          </w:p>
        </w:tc>
        <w:tc>
          <w:tcPr>
            <w:tcW w:w="0" w:type="auto"/>
            <w:vAlign w:val="center"/>
          </w:tcPr>
          <w:p w14:paraId="30065B77">
            <w:pPr>
              <w:widowControl/>
              <w:jc w:val="center"/>
              <w:textAlignment w:val="center"/>
              <w:rPr>
                <w:color w:val="000000"/>
                <w:szCs w:val="21"/>
              </w:rPr>
            </w:pPr>
            <w:r>
              <w:rPr>
                <w:color w:val="000000"/>
                <w:szCs w:val="21"/>
              </w:rPr>
              <w:t>肠胃机</w:t>
            </w:r>
          </w:p>
        </w:tc>
        <w:tc>
          <w:tcPr>
            <w:tcW w:w="0" w:type="auto"/>
            <w:vAlign w:val="center"/>
          </w:tcPr>
          <w:p w14:paraId="7EEFB3E0">
            <w:pPr>
              <w:widowControl/>
              <w:jc w:val="center"/>
              <w:textAlignment w:val="center"/>
              <w:rPr>
                <w:color w:val="000000"/>
                <w:szCs w:val="21"/>
              </w:rPr>
            </w:pPr>
            <w:r>
              <w:rPr>
                <w:color w:val="000000"/>
                <w:szCs w:val="21"/>
              </w:rPr>
              <w:t>7700</w:t>
            </w:r>
          </w:p>
        </w:tc>
        <w:tc>
          <w:tcPr>
            <w:tcW w:w="0" w:type="auto"/>
            <w:vAlign w:val="center"/>
          </w:tcPr>
          <w:p w14:paraId="4CD49BCC">
            <w:pPr>
              <w:jc w:val="center"/>
              <w:rPr>
                <w:szCs w:val="21"/>
              </w:rPr>
            </w:pPr>
            <w:r>
              <w:rPr>
                <w:szCs w:val="21"/>
              </w:rPr>
              <w:t>RF0520C0008</w:t>
            </w:r>
          </w:p>
        </w:tc>
        <w:tc>
          <w:tcPr>
            <w:tcW w:w="0" w:type="auto"/>
            <w:vAlign w:val="center"/>
          </w:tcPr>
          <w:p w14:paraId="1369D208">
            <w:pPr>
              <w:jc w:val="center"/>
              <w:rPr>
                <w:szCs w:val="21"/>
              </w:rPr>
            </w:pPr>
            <w:r>
              <w:rPr>
                <w:szCs w:val="21"/>
              </w:rPr>
              <w:t>管电压150kV 管电流1000mA</w:t>
            </w:r>
          </w:p>
        </w:tc>
        <w:tc>
          <w:tcPr>
            <w:tcW w:w="0" w:type="auto"/>
            <w:vAlign w:val="center"/>
          </w:tcPr>
          <w:p w14:paraId="5DAB261E">
            <w:pPr>
              <w:jc w:val="center"/>
              <w:rPr>
                <w:szCs w:val="21"/>
              </w:rPr>
            </w:pPr>
            <w:r>
              <w:rPr>
                <w:szCs w:val="21"/>
              </w:rPr>
              <w:t>深圳蓝韵</w:t>
            </w:r>
          </w:p>
        </w:tc>
      </w:tr>
      <w:tr w14:paraId="13AF9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436538CC">
            <w:pPr>
              <w:widowControl/>
              <w:jc w:val="center"/>
              <w:textAlignment w:val="center"/>
              <w:rPr>
                <w:b/>
                <w:color w:val="000000"/>
                <w:szCs w:val="21"/>
              </w:rPr>
            </w:pPr>
            <w:r>
              <w:rPr>
                <w:b/>
                <w:color w:val="000000"/>
                <w:kern w:val="0"/>
                <w:szCs w:val="21"/>
                <w:lang w:bidi="ar"/>
              </w:rPr>
              <w:t>14</w:t>
            </w:r>
          </w:p>
        </w:tc>
        <w:tc>
          <w:tcPr>
            <w:tcW w:w="0" w:type="auto"/>
            <w:vMerge w:val="continue"/>
            <w:vAlign w:val="center"/>
          </w:tcPr>
          <w:p w14:paraId="1D40D1BD">
            <w:pPr>
              <w:widowControl/>
              <w:jc w:val="center"/>
              <w:textAlignment w:val="center"/>
              <w:rPr>
                <w:color w:val="000000"/>
                <w:szCs w:val="21"/>
              </w:rPr>
            </w:pPr>
          </w:p>
        </w:tc>
        <w:tc>
          <w:tcPr>
            <w:tcW w:w="0" w:type="auto"/>
          </w:tcPr>
          <w:p w14:paraId="5ABAFB27">
            <w:pPr>
              <w:widowControl/>
              <w:jc w:val="center"/>
              <w:textAlignment w:val="center"/>
              <w:rPr>
                <w:color w:val="000000"/>
                <w:szCs w:val="21"/>
              </w:rPr>
            </w:pPr>
            <w:r>
              <w:rPr>
                <w:color w:val="000000"/>
                <w:szCs w:val="21"/>
              </w:rPr>
              <w:t>医用诊断X射线装置</w:t>
            </w:r>
          </w:p>
        </w:tc>
        <w:tc>
          <w:tcPr>
            <w:tcW w:w="0" w:type="auto"/>
          </w:tcPr>
          <w:p w14:paraId="5241E98C">
            <w:pPr>
              <w:widowControl/>
              <w:jc w:val="center"/>
              <w:textAlignment w:val="center"/>
              <w:rPr>
                <w:color w:val="000000"/>
                <w:szCs w:val="21"/>
              </w:rPr>
            </w:pPr>
            <w:r>
              <w:rPr>
                <w:color w:val="000000"/>
                <w:szCs w:val="21"/>
              </w:rPr>
              <w:t>III类</w:t>
            </w:r>
          </w:p>
        </w:tc>
        <w:tc>
          <w:tcPr>
            <w:tcW w:w="0" w:type="auto"/>
            <w:vAlign w:val="center"/>
          </w:tcPr>
          <w:p w14:paraId="45A98CA8">
            <w:pPr>
              <w:widowControl/>
              <w:jc w:val="center"/>
              <w:textAlignment w:val="center"/>
              <w:rPr>
                <w:color w:val="000000"/>
                <w:kern w:val="0"/>
                <w:szCs w:val="21"/>
                <w:lang w:bidi="ar"/>
              </w:rPr>
            </w:pPr>
            <w:r>
              <w:rPr>
                <w:szCs w:val="21"/>
              </w:rPr>
              <w:t>使用</w:t>
            </w:r>
          </w:p>
        </w:tc>
        <w:tc>
          <w:tcPr>
            <w:tcW w:w="0" w:type="auto"/>
            <w:vAlign w:val="center"/>
          </w:tcPr>
          <w:p w14:paraId="1485D8FC">
            <w:pPr>
              <w:jc w:val="center"/>
              <w:rPr>
                <w:szCs w:val="21"/>
              </w:rPr>
            </w:pPr>
            <w:r>
              <w:rPr>
                <w:szCs w:val="21"/>
              </w:rPr>
              <w:t>1</w:t>
            </w:r>
          </w:p>
        </w:tc>
        <w:tc>
          <w:tcPr>
            <w:tcW w:w="0" w:type="auto"/>
            <w:vAlign w:val="center"/>
          </w:tcPr>
          <w:p w14:paraId="6DE1E7C1">
            <w:pPr>
              <w:widowControl/>
              <w:jc w:val="center"/>
              <w:textAlignment w:val="center"/>
              <w:rPr>
                <w:color w:val="000000"/>
                <w:szCs w:val="21"/>
              </w:rPr>
            </w:pPr>
            <w:r>
              <w:rPr>
                <w:color w:val="000000"/>
                <w:szCs w:val="21"/>
              </w:rPr>
              <w:t>移动DR机</w:t>
            </w:r>
          </w:p>
        </w:tc>
        <w:tc>
          <w:tcPr>
            <w:tcW w:w="0" w:type="auto"/>
            <w:vAlign w:val="center"/>
          </w:tcPr>
          <w:p w14:paraId="0E84B766">
            <w:pPr>
              <w:widowControl/>
              <w:jc w:val="center"/>
              <w:textAlignment w:val="center"/>
              <w:rPr>
                <w:color w:val="000000"/>
                <w:szCs w:val="21"/>
              </w:rPr>
            </w:pPr>
            <w:r>
              <w:rPr>
                <w:color w:val="000000"/>
                <w:szCs w:val="21"/>
              </w:rPr>
              <w:t>DRX-Revolution</w:t>
            </w:r>
          </w:p>
        </w:tc>
        <w:tc>
          <w:tcPr>
            <w:tcW w:w="0" w:type="auto"/>
            <w:vAlign w:val="center"/>
          </w:tcPr>
          <w:p w14:paraId="147C8745">
            <w:pPr>
              <w:jc w:val="center"/>
              <w:rPr>
                <w:szCs w:val="21"/>
              </w:rPr>
            </w:pPr>
            <w:r>
              <w:rPr>
                <w:szCs w:val="21"/>
              </w:rPr>
              <w:t>20072</w:t>
            </w:r>
          </w:p>
        </w:tc>
        <w:tc>
          <w:tcPr>
            <w:tcW w:w="0" w:type="auto"/>
            <w:vAlign w:val="center"/>
          </w:tcPr>
          <w:p w14:paraId="085E12EC">
            <w:pPr>
              <w:jc w:val="center"/>
              <w:rPr>
                <w:szCs w:val="21"/>
              </w:rPr>
            </w:pPr>
            <w:r>
              <w:rPr>
                <w:szCs w:val="21"/>
              </w:rPr>
              <w:t>管电压150kV 管电流800mA</w:t>
            </w:r>
          </w:p>
        </w:tc>
        <w:tc>
          <w:tcPr>
            <w:tcW w:w="0" w:type="auto"/>
            <w:vAlign w:val="center"/>
          </w:tcPr>
          <w:p w14:paraId="1C08ABB2">
            <w:pPr>
              <w:jc w:val="center"/>
              <w:rPr>
                <w:szCs w:val="21"/>
              </w:rPr>
            </w:pPr>
            <w:r>
              <w:rPr>
                <w:szCs w:val="21"/>
              </w:rPr>
              <w:t>锐珂</w:t>
            </w:r>
          </w:p>
        </w:tc>
      </w:tr>
      <w:tr w14:paraId="0B745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2FA4838">
            <w:pPr>
              <w:widowControl/>
              <w:jc w:val="center"/>
              <w:textAlignment w:val="center"/>
              <w:rPr>
                <w:b/>
                <w:color w:val="000000"/>
                <w:szCs w:val="21"/>
              </w:rPr>
            </w:pPr>
            <w:r>
              <w:rPr>
                <w:b/>
                <w:color w:val="000000"/>
                <w:szCs w:val="21"/>
              </w:rPr>
              <w:t>15</w:t>
            </w:r>
          </w:p>
        </w:tc>
        <w:tc>
          <w:tcPr>
            <w:tcW w:w="0" w:type="auto"/>
            <w:vMerge w:val="continue"/>
            <w:vAlign w:val="center"/>
          </w:tcPr>
          <w:p w14:paraId="66B16043">
            <w:pPr>
              <w:widowControl/>
              <w:jc w:val="center"/>
              <w:textAlignment w:val="center"/>
              <w:rPr>
                <w:color w:val="000000"/>
                <w:szCs w:val="21"/>
              </w:rPr>
            </w:pPr>
          </w:p>
        </w:tc>
        <w:tc>
          <w:tcPr>
            <w:tcW w:w="0" w:type="auto"/>
            <w:vAlign w:val="center"/>
          </w:tcPr>
          <w:p w14:paraId="3DC6D4F7">
            <w:pPr>
              <w:widowControl/>
              <w:jc w:val="center"/>
              <w:textAlignment w:val="center"/>
              <w:rPr>
                <w:color w:val="000000"/>
                <w:szCs w:val="21"/>
              </w:rPr>
            </w:pPr>
            <w:r>
              <w:rPr>
                <w:color w:val="000000"/>
                <w:szCs w:val="21"/>
              </w:rPr>
              <w:t>医用X射线计算机断层扫描（CT）装置</w:t>
            </w:r>
          </w:p>
        </w:tc>
        <w:tc>
          <w:tcPr>
            <w:tcW w:w="0" w:type="auto"/>
          </w:tcPr>
          <w:p w14:paraId="0FE4CD6B">
            <w:pPr>
              <w:widowControl/>
              <w:jc w:val="center"/>
              <w:textAlignment w:val="center"/>
              <w:rPr>
                <w:color w:val="000000"/>
                <w:szCs w:val="21"/>
              </w:rPr>
            </w:pPr>
            <w:r>
              <w:rPr>
                <w:color w:val="000000"/>
                <w:szCs w:val="21"/>
              </w:rPr>
              <w:t>III类</w:t>
            </w:r>
          </w:p>
        </w:tc>
        <w:tc>
          <w:tcPr>
            <w:tcW w:w="0" w:type="auto"/>
            <w:vAlign w:val="center"/>
          </w:tcPr>
          <w:p w14:paraId="57A93280">
            <w:pPr>
              <w:widowControl/>
              <w:jc w:val="center"/>
              <w:textAlignment w:val="center"/>
              <w:rPr>
                <w:color w:val="000000"/>
                <w:kern w:val="0"/>
                <w:szCs w:val="21"/>
                <w:lang w:bidi="ar"/>
              </w:rPr>
            </w:pPr>
            <w:r>
              <w:rPr>
                <w:szCs w:val="21"/>
              </w:rPr>
              <w:t>使用</w:t>
            </w:r>
          </w:p>
        </w:tc>
        <w:tc>
          <w:tcPr>
            <w:tcW w:w="0" w:type="auto"/>
            <w:vAlign w:val="center"/>
          </w:tcPr>
          <w:p w14:paraId="11032DEC">
            <w:pPr>
              <w:jc w:val="center"/>
              <w:rPr>
                <w:szCs w:val="21"/>
              </w:rPr>
            </w:pPr>
            <w:r>
              <w:rPr>
                <w:szCs w:val="21"/>
              </w:rPr>
              <w:t>1</w:t>
            </w:r>
          </w:p>
        </w:tc>
        <w:tc>
          <w:tcPr>
            <w:tcW w:w="0" w:type="auto"/>
            <w:vAlign w:val="center"/>
          </w:tcPr>
          <w:p w14:paraId="42056CE8">
            <w:pPr>
              <w:widowControl/>
              <w:jc w:val="center"/>
              <w:textAlignment w:val="center"/>
              <w:rPr>
                <w:color w:val="000000"/>
                <w:szCs w:val="21"/>
              </w:rPr>
            </w:pPr>
            <w:r>
              <w:rPr>
                <w:color w:val="000000"/>
                <w:szCs w:val="21"/>
              </w:rPr>
              <w:t>320排螺旋CT机</w:t>
            </w:r>
          </w:p>
        </w:tc>
        <w:tc>
          <w:tcPr>
            <w:tcW w:w="0" w:type="auto"/>
            <w:vAlign w:val="center"/>
          </w:tcPr>
          <w:p w14:paraId="652FE6A2">
            <w:pPr>
              <w:widowControl/>
              <w:jc w:val="center"/>
              <w:textAlignment w:val="center"/>
              <w:rPr>
                <w:color w:val="000000"/>
                <w:szCs w:val="21"/>
              </w:rPr>
            </w:pPr>
            <w:r>
              <w:rPr>
                <w:color w:val="000000"/>
                <w:szCs w:val="21"/>
              </w:rPr>
              <w:t>Aquilion ONE TSX-301A</w:t>
            </w:r>
          </w:p>
        </w:tc>
        <w:tc>
          <w:tcPr>
            <w:tcW w:w="0" w:type="auto"/>
            <w:vAlign w:val="center"/>
          </w:tcPr>
          <w:p w14:paraId="79AFB355">
            <w:pPr>
              <w:jc w:val="center"/>
              <w:rPr>
                <w:szCs w:val="21"/>
              </w:rPr>
            </w:pPr>
            <w:r>
              <w:rPr>
                <w:szCs w:val="21"/>
              </w:rPr>
              <w:t>2EA0842027</w:t>
            </w:r>
          </w:p>
        </w:tc>
        <w:tc>
          <w:tcPr>
            <w:tcW w:w="0" w:type="auto"/>
            <w:vAlign w:val="center"/>
          </w:tcPr>
          <w:p w14:paraId="647FC5F4">
            <w:pPr>
              <w:jc w:val="center"/>
              <w:rPr>
                <w:szCs w:val="21"/>
              </w:rPr>
            </w:pPr>
            <w:r>
              <w:rPr>
                <w:szCs w:val="21"/>
              </w:rPr>
              <w:t>管电压135kV 管电流580mA</w:t>
            </w:r>
          </w:p>
        </w:tc>
        <w:tc>
          <w:tcPr>
            <w:tcW w:w="0" w:type="auto"/>
            <w:vAlign w:val="center"/>
          </w:tcPr>
          <w:p w14:paraId="14DA0812">
            <w:pPr>
              <w:jc w:val="center"/>
              <w:rPr>
                <w:szCs w:val="21"/>
              </w:rPr>
            </w:pPr>
            <w:r>
              <w:rPr>
                <w:szCs w:val="21"/>
              </w:rPr>
              <w:t>东芝</w:t>
            </w:r>
          </w:p>
        </w:tc>
      </w:tr>
      <w:tr w14:paraId="7AF4F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099F4D15">
            <w:pPr>
              <w:widowControl/>
              <w:jc w:val="center"/>
              <w:textAlignment w:val="center"/>
              <w:rPr>
                <w:b/>
                <w:color w:val="000000"/>
                <w:szCs w:val="21"/>
              </w:rPr>
            </w:pPr>
            <w:r>
              <w:rPr>
                <w:b/>
                <w:color w:val="000000"/>
                <w:kern w:val="0"/>
                <w:szCs w:val="21"/>
                <w:lang w:bidi="ar"/>
              </w:rPr>
              <w:t>16</w:t>
            </w:r>
          </w:p>
        </w:tc>
        <w:tc>
          <w:tcPr>
            <w:tcW w:w="0" w:type="auto"/>
            <w:vMerge w:val="continue"/>
            <w:vAlign w:val="center"/>
          </w:tcPr>
          <w:p w14:paraId="3F5CDF11">
            <w:pPr>
              <w:widowControl/>
              <w:jc w:val="center"/>
              <w:textAlignment w:val="center"/>
              <w:rPr>
                <w:color w:val="000000"/>
                <w:szCs w:val="21"/>
              </w:rPr>
            </w:pPr>
          </w:p>
        </w:tc>
        <w:tc>
          <w:tcPr>
            <w:tcW w:w="0" w:type="auto"/>
            <w:vAlign w:val="center"/>
          </w:tcPr>
          <w:p w14:paraId="68E6711B">
            <w:pPr>
              <w:widowControl/>
              <w:jc w:val="center"/>
              <w:textAlignment w:val="center"/>
              <w:rPr>
                <w:color w:val="000000"/>
                <w:szCs w:val="21"/>
              </w:rPr>
            </w:pPr>
            <w:r>
              <w:rPr>
                <w:color w:val="000000"/>
                <w:szCs w:val="21"/>
              </w:rPr>
              <w:t>医用X射线计算机断层扫描（CT）装置</w:t>
            </w:r>
          </w:p>
        </w:tc>
        <w:tc>
          <w:tcPr>
            <w:tcW w:w="0" w:type="auto"/>
          </w:tcPr>
          <w:p w14:paraId="6B8E0228">
            <w:pPr>
              <w:widowControl/>
              <w:jc w:val="center"/>
              <w:textAlignment w:val="center"/>
              <w:rPr>
                <w:color w:val="000000"/>
                <w:szCs w:val="21"/>
              </w:rPr>
            </w:pPr>
            <w:r>
              <w:rPr>
                <w:color w:val="000000"/>
                <w:szCs w:val="21"/>
              </w:rPr>
              <w:t>III类</w:t>
            </w:r>
          </w:p>
        </w:tc>
        <w:tc>
          <w:tcPr>
            <w:tcW w:w="0" w:type="auto"/>
            <w:vAlign w:val="center"/>
          </w:tcPr>
          <w:p w14:paraId="41F5A135">
            <w:pPr>
              <w:jc w:val="center"/>
              <w:rPr>
                <w:szCs w:val="21"/>
              </w:rPr>
            </w:pPr>
            <w:r>
              <w:rPr>
                <w:szCs w:val="21"/>
              </w:rPr>
              <w:t>使用</w:t>
            </w:r>
          </w:p>
        </w:tc>
        <w:tc>
          <w:tcPr>
            <w:tcW w:w="0" w:type="auto"/>
            <w:vAlign w:val="center"/>
          </w:tcPr>
          <w:p w14:paraId="07363EA8">
            <w:pPr>
              <w:jc w:val="center"/>
              <w:rPr>
                <w:szCs w:val="21"/>
              </w:rPr>
            </w:pPr>
            <w:r>
              <w:rPr>
                <w:szCs w:val="21"/>
              </w:rPr>
              <w:t>1</w:t>
            </w:r>
          </w:p>
        </w:tc>
        <w:tc>
          <w:tcPr>
            <w:tcW w:w="0" w:type="auto"/>
            <w:vAlign w:val="center"/>
          </w:tcPr>
          <w:p w14:paraId="470E62AF">
            <w:pPr>
              <w:widowControl/>
              <w:jc w:val="center"/>
              <w:textAlignment w:val="center"/>
              <w:rPr>
                <w:color w:val="000000"/>
                <w:szCs w:val="21"/>
              </w:rPr>
            </w:pPr>
            <w:r>
              <w:rPr>
                <w:color w:val="000000"/>
                <w:szCs w:val="21"/>
              </w:rPr>
              <w:t>256排CT机</w:t>
            </w:r>
          </w:p>
        </w:tc>
        <w:tc>
          <w:tcPr>
            <w:tcW w:w="0" w:type="auto"/>
            <w:vAlign w:val="center"/>
          </w:tcPr>
          <w:p w14:paraId="0DECC17F">
            <w:pPr>
              <w:widowControl/>
              <w:jc w:val="center"/>
              <w:textAlignment w:val="center"/>
              <w:rPr>
                <w:color w:val="000000"/>
                <w:szCs w:val="21"/>
              </w:rPr>
            </w:pPr>
            <w:r>
              <w:rPr>
                <w:color w:val="000000"/>
                <w:szCs w:val="21"/>
              </w:rPr>
              <w:t>Revolution Apex</w:t>
            </w:r>
          </w:p>
        </w:tc>
        <w:tc>
          <w:tcPr>
            <w:tcW w:w="0" w:type="auto"/>
            <w:vAlign w:val="center"/>
          </w:tcPr>
          <w:p w14:paraId="4EC7EA85">
            <w:pPr>
              <w:jc w:val="center"/>
              <w:rPr>
                <w:szCs w:val="21"/>
              </w:rPr>
            </w:pPr>
            <w:r>
              <w:rPr>
                <w:szCs w:val="21"/>
              </w:rPr>
              <w:t>REV2C2100002CN</w:t>
            </w:r>
          </w:p>
        </w:tc>
        <w:tc>
          <w:tcPr>
            <w:tcW w:w="0" w:type="auto"/>
            <w:vAlign w:val="center"/>
          </w:tcPr>
          <w:p w14:paraId="667CD1CC">
            <w:pPr>
              <w:jc w:val="center"/>
              <w:rPr>
                <w:szCs w:val="21"/>
              </w:rPr>
            </w:pPr>
            <w:r>
              <w:rPr>
                <w:szCs w:val="21"/>
              </w:rPr>
              <w:t>管电压150kV 管电流1300mA</w:t>
            </w:r>
          </w:p>
        </w:tc>
        <w:tc>
          <w:tcPr>
            <w:tcW w:w="0" w:type="auto"/>
            <w:vAlign w:val="center"/>
          </w:tcPr>
          <w:p w14:paraId="5D896503">
            <w:pPr>
              <w:jc w:val="center"/>
              <w:rPr>
                <w:szCs w:val="21"/>
              </w:rPr>
            </w:pPr>
            <w:r>
              <w:rPr>
                <w:szCs w:val="21"/>
              </w:rPr>
              <w:t>GE</w:t>
            </w:r>
          </w:p>
        </w:tc>
      </w:tr>
      <w:tr w14:paraId="57DFE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23EC6311">
            <w:pPr>
              <w:widowControl/>
              <w:jc w:val="center"/>
              <w:textAlignment w:val="center"/>
              <w:rPr>
                <w:b/>
                <w:color w:val="000000"/>
                <w:szCs w:val="21"/>
              </w:rPr>
            </w:pPr>
            <w:r>
              <w:rPr>
                <w:b/>
                <w:color w:val="000000"/>
                <w:kern w:val="0"/>
                <w:szCs w:val="21"/>
                <w:lang w:bidi="ar"/>
              </w:rPr>
              <w:t>17</w:t>
            </w:r>
          </w:p>
        </w:tc>
        <w:tc>
          <w:tcPr>
            <w:tcW w:w="0" w:type="auto"/>
            <w:vMerge w:val="restart"/>
            <w:vAlign w:val="center"/>
          </w:tcPr>
          <w:p w14:paraId="3EA14124">
            <w:pPr>
              <w:widowControl/>
              <w:jc w:val="center"/>
              <w:textAlignment w:val="center"/>
              <w:rPr>
                <w:color w:val="000000"/>
                <w:szCs w:val="21"/>
              </w:rPr>
            </w:pPr>
            <w:r>
              <w:rPr>
                <w:color w:val="000000"/>
                <w:szCs w:val="21"/>
              </w:rPr>
              <w:t>本院区3号楼二楼</w:t>
            </w:r>
          </w:p>
        </w:tc>
        <w:tc>
          <w:tcPr>
            <w:tcW w:w="0" w:type="auto"/>
            <w:vAlign w:val="center"/>
          </w:tcPr>
          <w:p w14:paraId="4B4CE43C">
            <w:pPr>
              <w:widowControl/>
              <w:jc w:val="center"/>
              <w:textAlignment w:val="center"/>
              <w:rPr>
                <w:color w:val="000000"/>
                <w:szCs w:val="21"/>
              </w:rPr>
            </w:pPr>
            <w:r>
              <w:rPr>
                <w:color w:val="000000"/>
                <w:szCs w:val="21"/>
              </w:rPr>
              <w:t>血管造影用X射线装置</w:t>
            </w:r>
          </w:p>
        </w:tc>
        <w:tc>
          <w:tcPr>
            <w:tcW w:w="0" w:type="auto"/>
          </w:tcPr>
          <w:p w14:paraId="5FDCA9B0">
            <w:pPr>
              <w:widowControl/>
              <w:jc w:val="center"/>
              <w:textAlignment w:val="center"/>
              <w:rPr>
                <w:color w:val="000000"/>
                <w:szCs w:val="21"/>
              </w:rPr>
            </w:pPr>
            <w:r>
              <w:rPr>
                <w:color w:val="000000"/>
                <w:szCs w:val="21"/>
              </w:rPr>
              <w:t>II类</w:t>
            </w:r>
          </w:p>
        </w:tc>
        <w:tc>
          <w:tcPr>
            <w:tcW w:w="0" w:type="auto"/>
            <w:vAlign w:val="center"/>
          </w:tcPr>
          <w:p w14:paraId="2F66A140">
            <w:pPr>
              <w:jc w:val="center"/>
              <w:rPr>
                <w:szCs w:val="21"/>
              </w:rPr>
            </w:pPr>
            <w:r>
              <w:rPr>
                <w:szCs w:val="21"/>
              </w:rPr>
              <w:t>使用</w:t>
            </w:r>
          </w:p>
        </w:tc>
        <w:tc>
          <w:tcPr>
            <w:tcW w:w="0" w:type="auto"/>
            <w:vAlign w:val="center"/>
          </w:tcPr>
          <w:p w14:paraId="0F44E5B3">
            <w:pPr>
              <w:jc w:val="center"/>
              <w:rPr>
                <w:szCs w:val="21"/>
              </w:rPr>
            </w:pPr>
            <w:r>
              <w:rPr>
                <w:szCs w:val="21"/>
              </w:rPr>
              <w:t>1</w:t>
            </w:r>
          </w:p>
        </w:tc>
        <w:tc>
          <w:tcPr>
            <w:tcW w:w="0" w:type="auto"/>
            <w:vAlign w:val="center"/>
          </w:tcPr>
          <w:p w14:paraId="612CC883">
            <w:pPr>
              <w:widowControl/>
              <w:jc w:val="center"/>
              <w:textAlignment w:val="center"/>
              <w:rPr>
                <w:color w:val="000000"/>
                <w:szCs w:val="21"/>
              </w:rPr>
            </w:pPr>
            <w:r>
              <w:rPr>
                <w:color w:val="000000"/>
                <w:szCs w:val="21"/>
              </w:rPr>
              <w:t>DSA机</w:t>
            </w:r>
          </w:p>
        </w:tc>
        <w:tc>
          <w:tcPr>
            <w:tcW w:w="0" w:type="auto"/>
            <w:vAlign w:val="center"/>
          </w:tcPr>
          <w:p w14:paraId="0E15242E">
            <w:pPr>
              <w:widowControl/>
              <w:jc w:val="center"/>
              <w:textAlignment w:val="center"/>
              <w:rPr>
                <w:color w:val="000000"/>
                <w:szCs w:val="21"/>
              </w:rPr>
            </w:pPr>
            <w:r>
              <w:rPr>
                <w:color w:val="000000"/>
                <w:szCs w:val="21"/>
              </w:rPr>
              <w:t>Artis Q ceiling</w:t>
            </w:r>
          </w:p>
        </w:tc>
        <w:tc>
          <w:tcPr>
            <w:tcW w:w="0" w:type="auto"/>
            <w:vAlign w:val="center"/>
          </w:tcPr>
          <w:p w14:paraId="5C19C357">
            <w:pPr>
              <w:widowControl/>
              <w:jc w:val="center"/>
              <w:rPr>
                <w:color w:val="000000"/>
                <w:szCs w:val="21"/>
              </w:rPr>
            </w:pPr>
            <w:r>
              <w:rPr>
                <w:color w:val="000000"/>
                <w:szCs w:val="21"/>
              </w:rPr>
              <w:t>109874</w:t>
            </w:r>
          </w:p>
        </w:tc>
        <w:tc>
          <w:tcPr>
            <w:tcW w:w="0" w:type="auto"/>
            <w:vAlign w:val="center"/>
          </w:tcPr>
          <w:p w14:paraId="6367B725">
            <w:pPr>
              <w:widowControl/>
              <w:jc w:val="center"/>
              <w:rPr>
                <w:color w:val="000000"/>
                <w:szCs w:val="21"/>
              </w:rPr>
            </w:pPr>
            <w:r>
              <w:rPr>
                <w:color w:val="000000"/>
                <w:szCs w:val="21"/>
              </w:rPr>
              <w:t>管电压125kV 管电流1000mA</w:t>
            </w:r>
          </w:p>
        </w:tc>
        <w:tc>
          <w:tcPr>
            <w:tcW w:w="0" w:type="auto"/>
            <w:vAlign w:val="center"/>
          </w:tcPr>
          <w:p w14:paraId="1CE9FEC7">
            <w:pPr>
              <w:widowControl/>
              <w:jc w:val="center"/>
              <w:rPr>
                <w:color w:val="000000"/>
                <w:szCs w:val="21"/>
              </w:rPr>
            </w:pPr>
            <w:r>
              <w:rPr>
                <w:color w:val="000000"/>
                <w:szCs w:val="21"/>
              </w:rPr>
              <w:t>西门子</w:t>
            </w:r>
          </w:p>
        </w:tc>
      </w:tr>
      <w:tr w14:paraId="5C98A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0" w:type="auto"/>
            <w:vAlign w:val="center"/>
          </w:tcPr>
          <w:p w14:paraId="43B526E8">
            <w:pPr>
              <w:widowControl/>
              <w:jc w:val="center"/>
              <w:textAlignment w:val="center"/>
              <w:rPr>
                <w:b/>
                <w:color w:val="000000"/>
                <w:szCs w:val="21"/>
              </w:rPr>
            </w:pPr>
            <w:r>
              <w:rPr>
                <w:b/>
                <w:color w:val="000000"/>
                <w:kern w:val="0"/>
                <w:szCs w:val="21"/>
                <w:lang w:bidi="ar"/>
              </w:rPr>
              <w:t>18</w:t>
            </w:r>
          </w:p>
        </w:tc>
        <w:tc>
          <w:tcPr>
            <w:tcW w:w="0" w:type="auto"/>
            <w:vMerge w:val="continue"/>
            <w:vAlign w:val="center"/>
          </w:tcPr>
          <w:p w14:paraId="17A25F89">
            <w:pPr>
              <w:widowControl/>
              <w:jc w:val="center"/>
              <w:textAlignment w:val="center"/>
              <w:rPr>
                <w:color w:val="000000"/>
                <w:szCs w:val="21"/>
              </w:rPr>
            </w:pPr>
          </w:p>
        </w:tc>
        <w:tc>
          <w:tcPr>
            <w:tcW w:w="0" w:type="auto"/>
            <w:vAlign w:val="center"/>
          </w:tcPr>
          <w:p w14:paraId="4B37C8A9">
            <w:pPr>
              <w:widowControl/>
              <w:jc w:val="center"/>
              <w:textAlignment w:val="center"/>
              <w:rPr>
                <w:color w:val="000000"/>
                <w:szCs w:val="21"/>
              </w:rPr>
            </w:pPr>
            <w:r>
              <w:rPr>
                <w:color w:val="000000"/>
                <w:szCs w:val="21"/>
              </w:rPr>
              <w:t>血管造影用X射线装置</w:t>
            </w:r>
          </w:p>
        </w:tc>
        <w:tc>
          <w:tcPr>
            <w:tcW w:w="0" w:type="auto"/>
          </w:tcPr>
          <w:p w14:paraId="3619D695">
            <w:pPr>
              <w:widowControl/>
              <w:jc w:val="center"/>
              <w:textAlignment w:val="center"/>
              <w:rPr>
                <w:color w:val="000000"/>
                <w:szCs w:val="21"/>
              </w:rPr>
            </w:pPr>
            <w:r>
              <w:rPr>
                <w:color w:val="000000"/>
                <w:szCs w:val="21"/>
              </w:rPr>
              <w:t>II类</w:t>
            </w:r>
          </w:p>
        </w:tc>
        <w:tc>
          <w:tcPr>
            <w:tcW w:w="0" w:type="auto"/>
            <w:vAlign w:val="center"/>
          </w:tcPr>
          <w:p w14:paraId="1849EE25">
            <w:pPr>
              <w:widowControl/>
              <w:jc w:val="center"/>
              <w:textAlignment w:val="center"/>
              <w:rPr>
                <w:color w:val="000000"/>
                <w:kern w:val="0"/>
                <w:szCs w:val="21"/>
                <w:lang w:bidi="ar"/>
              </w:rPr>
            </w:pPr>
            <w:r>
              <w:rPr>
                <w:szCs w:val="21"/>
              </w:rPr>
              <w:t>使用</w:t>
            </w:r>
          </w:p>
        </w:tc>
        <w:tc>
          <w:tcPr>
            <w:tcW w:w="0" w:type="auto"/>
            <w:vAlign w:val="center"/>
          </w:tcPr>
          <w:p w14:paraId="6741B703">
            <w:pPr>
              <w:widowControl/>
              <w:jc w:val="center"/>
              <w:textAlignment w:val="center"/>
              <w:rPr>
                <w:color w:val="000000"/>
                <w:kern w:val="0"/>
                <w:szCs w:val="21"/>
                <w:lang w:bidi="ar"/>
              </w:rPr>
            </w:pPr>
            <w:r>
              <w:rPr>
                <w:szCs w:val="21"/>
              </w:rPr>
              <w:t>1</w:t>
            </w:r>
          </w:p>
        </w:tc>
        <w:tc>
          <w:tcPr>
            <w:tcW w:w="0" w:type="auto"/>
          </w:tcPr>
          <w:p w14:paraId="5F16E96C">
            <w:pPr>
              <w:widowControl/>
              <w:jc w:val="center"/>
              <w:textAlignment w:val="center"/>
              <w:rPr>
                <w:color w:val="000000"/>
                <w:szCs w:val="21"/>
              </w:rPr>
            </w:pPr>
            <w:r>
              <w:rPr>
                <w:color w:val="000000"/>
                <w:szCs w:val="21"/>
              </w:rPr>
              <w:t>DSA机</w:t>
            </w:r>
          </w:p>
        </w:tc>
        <w:tc>
          <w:tcPr>
            <w:tcW w:w="0" w:type="auto"/>
            <w:vAlign w:val="center"/>
          </w:tcPr>
          <w:p w14:paraId="0D05AD54">
            <w:pPr>
              <w:widowControl/>
              <w:jc w:val="center"/>
              <w:textAlignment w:val="center"/>
              <w:rPr>
                <w:color w:val="000000"/>
                <w:kern w:val="0"/>
                <w:szCs w:val="21"/>
                <w:lang w:bidi="ar"/>
              </w:rPr>
            </w:pPr>
            <w:r>
              <w:rPr>
                <w:color w:val="000000"/>
                <w:kern w:val="0"/>
                <w:szCs w:val="21"/>
                <w:lang w:bidi="ar"/>
              </w:rPr>
              <w:t>Innovo IGS 520</w:t>
            </w:r>
          </w:p>
        </w:tc>
        <w:tc>
          <w:tcPr>
            <w:tcW w:w="0" w:type="auto"/>
            <w:vAlign w:val="center"/>
          </w:tcPr>
          <w:p w14:paraId="2DD721DE">
            <w:pPr>
              <w:widowControl/>
              <w:jc w:val="center"/>
              <w:textAlignment w:val="center"/>
              <w:rPr>
                <w:color w:val="000000"/>
                <w:kern w:val="0"/>
                <w:szCs w:val="21"/>
                <w:lang w:bidi="ar"/>
              </w:rPr>
            </w:pPr>
            <w:r>
              <w:rPr>
                <w:color w:val="000000"/>
                <w:kern w:val="0"/>
                <w:szCs w:val="21"/>
                <w:lang w:bidi="ar"/>
              </w:rPr>
              <w:t>EZ26732-7D</w:t>
            </w:r>
          </w:p>
        </w:tc>
        <w:tc>
          <w:tcPr>
            <w:tcW w:w="0" w:type="auto"/>
            <w:vAlign w:val="center"/>
          </w:tcPr>
          <w:p w14:paraId="313B1DE3">
            <w:pPr>
              <w:widowControl/>
              <w:jc w:val="center"/>
              <w:textAlignment w:val="center"/>
              <w:rPr>
                <w:color w:val="000000"/>
                <w:kern w:val="0"/>
                <w:szCs w:val="21"/>
                <w:lang w:bidi="ar"/>
              </w:rPr>
            </w:pPr>
            <w:r>
              <w:rPr>
                <w:color w:val="000000"/>
                <w:kern w:val="0"/>
                <w:szCs w:val="21"/>
                <w:lang w:bidi="ar"/>
              </w:rPr>
              <w:t>管电压125kV 管电流1000mA</w:t>
            </w:r>
          </w:p>
        </w:tc>
        <w:tc>
          <w:tcPr>
            <w:tcW w:w="0" w:type="auto"/>
            <w:vAlign w:val="center"/>
          </w:tcPr>
          <w:p w14:paraId="43F657F2">
            <w:pPr>
              <w:widowControl/>
              <w:jc w:val="center"/>
              <w:textAlignment w:val="center"/>
              <w:rPr>
                <w:color w:val="000000"/>
                <w:kern w:val="0"/>
                <w:szCs w:val="21"/>
                <w:lang w:bidi="ar"/>
              </w:rPr>
            </w:pPr>
            <w:r>
              <w:rPr>
                <w:color w:val="000000"/>
                <w:kern w:val="0"/>
                <w:szCs w:val="21"/>
                <w:lang w:bidi="ar"/>
              </w:rPr>
              <w:t>GE</w:t>
            </w:r>
          </w:p>
        </w:tc>
      </w:tr>
      <w:tr w14:paraId="5FF85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75F7387">
            <w:pPr>
              <w:widowControl/>
              <w:jc w:val="center"/>
              <w:textAlignment w:val="center"/>
              <w:rPr>
                <w:b/>
                <w:color w:val="000000"/>
                <w:szCs w:val="21"/>
              </w:rPr>
            </w:pPr>
            <w:r>
              <w:rPr>
                <w:b/>
                <w:color w:val="000000"/>
                <w:kern w:val="0"/>
                <w:szCs w:val="21"/>
                <w:lang w:bidi="ar"/>
              </w:rPr>
              <w:t>19</w:t>
            </w:r>
          </w:p>
        </w:tc>
        <w:tc>
          <w:tcPr>
            <w:tcW w:w="0" w:type="auto"/>
            <w:vMerge w:val="continue"/>
            <w:vAlign w:val="center"/>
          </w:tcPr>
          <w:p w14:paraId="53DFF68E">
            <w:pPr>
              <w:widowControl/>
              <w:jc w:val="center"/>
              <w:textAlignment w:val="center"/>
              <w:rPr>
                <w:color w:val="000000"/>
                <w:szCs w:val="21"/>
              </w:rPr>
            </w:pPr>
          </w:p>
        </w:tc>
        <w:tc>
          <w:tcPr>
            <w:tcW w:w="0" w:type="auto"/>
            <w:vAlign w:val="center"/>
          </w:tcPr>
          <w:p w14:paraId="520290BC">
            <w:pPr>
              <w:widowControl/>
              <w:jc w:val="center"/>
              <w:textAlignment w:val="center"/>
              <w:rPr>
                <w:color w:val="000000"/>
                <w:szCs w:val="21"/>
              </w:rPr>
            </w:pPr>
            <w:r>
              <w:rPr>
                <w:color w:val="000000"/>
                <w:szCs w:val="21"/>
              </w:rPr>
              <w:t>血管造影用X射线装置</w:t>
            </w:r>
          </w:p>
        </w:tc>
        <w:tc>
          <w:tcPr>
            <w:tcW w:w="0" w:type="auto"/>
          </w:tcPr>
          <w:p w14:paraId="47774C65">
            <w:pPr>
              <w:widowControl/>
              <w:jc w:val="center"/>
              <w:textAlignment w:val="center"/>
              <w:rPr>
                <w:color w:val="000000"/>
                <w:szCs w:val="21"/>
              </w:rPr>
            </w:pPr>
            <w:r>
              <w:rPr>
                <w:color w:val="000000"/>
                <w:szCs w:val="21"/>
              </w:rPr>
              <w:t>II类</w:t>
            </w:r>
          </w:p>
        </w:tc>
        <w:tc>
          <w:tcPr>
            <w:tcW w:w="0" w:type="auto"/>
            <w:vAlign w:val="center"/>
          </w:tcPr>
          <w:p w14:paraId="46BA9F33">
            <w:pPr>
              <w:widowControl/>
              <w:jc w:val="center"/>
              <w:textAlignment w:val="center"/>
              <w:rPr>
                <w:color w:val="000000"/>
                <w:kern w:val="0"/>
                <w:szCs w:val="21"/>
                <w:lang w:bidi="ar"/>
              </w:rPr>
            </w:pPr>
            <w:r>
              <w:rPr>
                <w:szCs w:val="21"/>
              </w:rPr>
              <w:t>使用</w:t>
            </w:r>
          </w:p>
        </w:tc>
        <w:tc>
          <w:tcPr>
            <w:tcW w:w="0" w:type="auto"/>
            <w:vAlign w:val="center"/>
          </w:tcPr>
          <w:p w14:paraId="007A3F93">
            <w:pPr>
              <w:widowControl/>
              <w:jc w:val="center"/>
              <w:textAlignment w:val="center"/>
              <w:rPr>
                <w:color w:val="000000"/>
                <w:kern w:val="0"/>
                <w:szCs w:val="21"/>
                <w:lang w:bidi="ar"/>
              </w:rPr>
            </w:pPr>
            <w:r>
              <w:rPr>
                <w:szCs w:val="21"/>
              </w:rPr>
              <w:t>1</w:t>
            </w:r>
          </w:p>
        </w:tc>
        <w:tc>
          <w:tcPr>
            <w:tcW w:w="0" w:type="auto"/>
          </w:tcPr>
          <w:p w14:paraId="6CE587EC">
            <w:pPr>
              <w:widowControl/>
              <w:jc w:val="center"/>
              <w:textAlignment w:val="center"/>
              <w:rPr>
                <w:color w:val="000000"/>
                <w:szCs w:val="21"/>
              </w:rPr>
            </w:pPr>
            <w:r>
              <w:rPr>
                <w:color w:val="000000"/>
                <w:szCs w:val="21"/>
              </w:rPr>
              <w:t>DSA机</w:t>
            </w:r>
          </w:p>
        </w:tc>
        <w:tc>
          <w:tcPr>
            <w:tcW w:w="0" w:type="auto"/>
            <w:vAlign w:val="center"/>
          </w:tcPr>
          <w:p w14:paraId="3C9C584E">
            <w:pPr>
              <w:widowControl/>
              <w:jc w:val="center"/>
              <w:rPr>
                <w:color w:val="000000"/>
                <w:szCs w:val="21"/>
              </w:rPr>
            </w:pPr>
            <w:r>
              <w:rPr>
                <w:color w:val="000000"/>
                <w:szCs w:val="21"/>
              </w:rPr>
              <w:t>NeuAngio43C</w:t>
            </w:r>
          </w:p>
        </w:tc>
        <w:tc>
          <w:tcPr>
            <w:tcW w:w="0" w:type="auto"/>
            <w:vAlign w:val="center"/>
          </w:tcPr>
          <w:p w14:paraId="54F4792F">
            <w:pPr>
              <w:widowControl/>
              <w:jc w:val="center"/>
              <w:rPr>
                <w:color w:val="000000"/>
                <w:szCs w:val="21"/>
              </w:rPr>
            </w:pPr>
            <w:r>
              <w:rPr>
                <w:color w:val="000000"/>
                <w:szCs w:val="21"/>
              </w:rPr>
              <w:t>22030001</w:t>
            </w:r>
          </w:p>
        </w:tc>
        <w:tc>
          <w:tcPr>
            <w:tcW w:w="0" w:type="auto"/>
            <w:vAlign w:val="center"/>
          </w:tcPr>
          <w:p w14:paraId="41D9D98A">
            <w:pPr>
              <w:widowControl/>
              <w:jc w:val="center"/>
              <w:rPr>
                <w:color w:val="000000"/>
                <w:szCs w:val="21"/>
              </w:rPr>
            </w:pPr>
            <w:r>
              <w:rPr>
                <w:color w:val="000000"/>
                <w:szCs w:val="21"/>
              </w:rPr>
              <w:t>管电压125kV 管电流800mA</w:t>
            </w:r>
          </w:p>
        </w:tc>
        <w:tc>
          <w:tcPr>
            <w:tcW w:w="0" w:type="auto"/>
            <w:vAlign w:val="center"/>
          </w:tcPr>
          <w:p w14:paraId="5D7B5853">
            <w:pPr>
              <w:widowControl/>
              <w:jc w:val="center"/>
              <w:rPr>
                <w:color w:val="000000"/>
                <w:szCs w:val="21"/>
              </w:rPr>
            </w:pPr>
            <w:r>
              <w:rPr>
                <w:color w:val="000000"/>
                <w:szCs w:val="21"/>
              </w:rPr>
              <w:t>东软</w:t>
            </w:r>
          </w:p>
        </w:tc>
      </w:tr>
      <w:tr w14:paraId="2B923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50DBC28">
            <w:pPr>
              <w:widowControl/>
              <w:jc w:val="center"/>
              <w:textAlignment w:val="center"/>
              <w:rPr>
                <w:b/>
                <w:color w:val="000000"/>
                <w:szCs w:val="21"/>
              </w:rPr>
            </w:pPr>
            <w:r>
              <w:rPr>
                <w:b/>
                <w:color w:val="000000"/>
                <w:kern w:val="0"/>
                <w:szCs w:val="21"/>
                <w:lang w:bidi="ar"/>
              </w:rPr>
              <w:t>20</w:t>
            </w:r>
          </w:p>
        </w:tc>
        <w:tc>
          <w:tcPr>
            <w:tcW w:w="0" w:type="auto"/>
            <w:vMerge w:val="continue"/>
            <w:vAlign w:val="center"/>
          </w:tcPr>
          <w:p w14:paraId="0AF827E5">
            <w:pPr>
              <w:widowControl/>
              <w:jc w:val="center"/>
              <w:textAlignment w:val="center"/>
              <w:rPr>
                <w:color w:val="000000"/>
                <w:szCs w:val="21"/>
              </w:rPr>
            </w:pPr>
          </w:p>
        </w:tc>
        <w:tc>
          <w:tcPr>
            <w:tcW w:w="0" w:type="auto"/>
            <w:vAlign w:val="center"/>
          </w:tcPr>
          <w:p w14:paraId="6D1F3C1A">
            <w:pPr>
              <w:widowControl/>
              <w:jc w:val="center"/>
              <w:textAlignment w:val="center"/>
              <w:rPr>
                <w:color w:val="000000"/>
                <w:szCs w:val="21"/>
              </w:rPr>
            </w:pPr>
            <w:r>
              <w:rPr>
                <w:color w:val="000000"/>
                <w:szCs w:val="21"/>
              </w:rPr>
              <w:t>血管造影用X射线装置</w:t>
            </w:r>
          </w:p>
        </w:tc>
        <w:tc>
          <w:tcPr>
            <w:tcW w:w="0" w:type="auto"/>
          </w:tcPr>
          <w:p w14:paraId="6251AF53">
            <w:pPr>
              <w:widowControl/>
              <w:jc w:val="center"/>
              <w:textAlignment w:val="center"/>
              <w:rPr>
                <w:color w:val="000000"/>
                <w:szCs w:val="21"/>
              </w:rPr>
            </w:pPr>
            <w:r>
              <w:rPr>
                <w:color w:val="000000"/>
                <w:szCs w:val="21"/>
              </w:rPr>
              <w:t>II类</w:t>
            </w:r>
          </w:p>
        </w:tc>
        <w:tc>
          <w:tcPr>
            <w:tcW w:w="0" w:type="auto"/>
            <w:vAlign w:val="center"/>
          </w:tcPr>
          <w:p w14:paraId="72BFE2FC">
            <w:pPr>
              <w:widowControl/>
              <w:jc w:val="center"/>
              <w:textAlignment w:val="center"/>
              <w:rPr>
                <w:color w:val="000000"/>
                <w:kern w:val="0"/>
                <w:szCs w:val="21"/>
                <w:lang w:bidi="ar"/>
              </w:rPr>
            </w:pPr>
            <w:r>
              <w:rPr>
                <w:szCs w:val="21"/>
              </w:rPr>
              <w:t>使用</w:t>
            </w:r>
          </w:p>
        </w:tc>
        <w:tc>
          <w:tcPr>
            <w:tcW w:w="0" w:type="auto"/>
            <w:vAlign w:val="center"/>
          </w:tcPr>
          <w:p w14:paraId="4673C399">
            <w:pPr>
              <w:widowControl/>
              <w:jc w:val="center"/>
              <w:textAlignment w:val="center"/>
              <w:rPr>
                <w:color w:val="000000"/>
                <w:kern w:val="0"/>
                <w:szCs w:val="21"/>
                <w:lang w:bidi="ar"/>
              </w:rPr>
            </w:pPr>
            <w:r>
              <w:rPr>
                <w:szCs w:val="21"/>
              </w:rPr>
              <w:t>1</w:t>
            </w:r>
          </w:p>
        </w:tc>
        <w:tc>
          <w:tcPr>
            <w:tcW w:w="0" w:type="auto"/>
          </w:tcPr>
          <w:p w14:paraId="6223ADB4">
            <w:pPr>
              <w:widowControl/>
              <w:jc w:val="center"/>
              <w:textAlignment w:val="center"/>
              <w:rPr>
                <w:color w:val="000000"/>
                <w:szCs w:val="21"/>
              </w:rPr>
            </w:pPr>
            <w:r>
              <w:rPr>
                <w:color w:val="000000"/>
                <w:szCs w:val="21"/>
              </w:rPr>
              <w:t>DSA机</w:t>
            </w:r>
          </w:p>
        </w:tc>
        <w:tc>
          <w:tcPr>
            <w:tcW w:w="0" w:type="auto"/>
            <w:vAlign w:val="center"/>
          </w:tcPr>
          <w:p w14:paraId="0DCBCC87">
            <w:pPr>
              <w:widowControl/>
              <w:jc w:val="center"/>
              <w:rPr>
                <w:color w:val="000000"/>
                <w:szCs w:val="21"/>
              </w:rPr>
            </w:pPr>
            <w:r>
              <w:rPr>
                <w:color w:val="000000"/>
                <w:szCs w:val="21"/>
              </w:rPr>
              <w:t>Artis zee floor</w:t>
            </w:r>
          </w:p>
        </w:tc>
        <w:tc>
          <w:tcPr>
            <w:tcW w:w="0" w:type="auto"/>
            <w:vAlign w:val="center"/>
          </w:tcPr>
          <w:p w14:paraId="5E720D5D">
            <w:pPr>
              <w:widowControl/>
              <w:jc w:val="center"/>
              <w:rPr>
                <w:color w:val="000000"/>
                <w:szCs w:val="21"/>
              </w:rPr>
            </w:pPr>
            <w:r>
              <w:rPr>
                <w:color w:val="000000"/>
                <w:szCs w:val="21"/>
              </w:rPr>
              <w:t>136602</w:t>
            </w:r>
          </w:p>
        </w:tc>
        <w:tc>
          <w:tcPr>
            <w:tcW w:w="0" w:type="auto"/>
            <w:vAlign w:val="center"/>
          </w:tcPr>
          <w:p w14:paraId="58779D13">
            <w:pPr>
              <w:widowControl/>
              <w:jc w:val="center"/>
              <w:rPr>
                <w:color w:val="000000"/>
                <w:szCs w:val="21"/>
              </w:rPr>
            </w:pPr>
            <w:r>
              <w:rPr>
                <w:color w:val="000000"/>
                <w:kern w:val="0"/>
                <w:szCs w:val="21"/>
                <w:lang w:bidi="ar"/>
              </w:rPr>
              <w:t>管电压125kV 管电流1000mA</w:t>
            </w:r>
          </w:p>
        </w:tc>
        <w:tc>
          <w:tcPr>
            <w:tcW w:w="0" w:type="auto"/>
            <w:vAlign w:val="center"/>
          </w:tcPr>
          <w:p w14:paraId="7FD1B824">
            <w:pPr>
              <w:widowControl/>
              <w:jc w:val="center"/>
              <w:rPr>
                <w:color w:val="000000"/>
                <w:szCs w:val="21"/>
              </w:rPr>
            </w:pPr>
            <w:r>
              <w:rPr>
                <w:color w:val="000000"/>
                <w:szCs w:val="21"/>
              </w:rPr>
              <w:t>西门子</w:t>
            </w:r>
          </w:p>
        </w:tc>
      </w:tr>
      <w:tr w14:paraId="5B3A8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9" w:hRule="atLeast"/>
          <w:jc w:val="center"/>
        </w:trPr>
        <w:tc>
          <w:tcPr>
            <w:tcW w:w="0" w:type="auto"/>
            <w:vAlign w:val="center"/>
          </w:tcPr>
          <w:p w14:paraId="24AA6074">
            <w:pPr>
              <w:widowControl/>
              <w:jc w:val="center"/>
              <w:textAlignment w:val="center"/>
              <w:rPr>
                <w:b/>
                <w:color w:val="000000"/>
                <w:szCs w:val="21"/>
              </w:rPr>
            </w:pPr>
            <w:r>
              <w:rPr>
                <w:b/>
                <w:color w:val="000000"/>
                <w:kern w:val="0"/>
                <w:szCs w:val="21"/>
                <w:lang w:bidi="ar"/>
              </w:rPr>
              <w:t>21</w:t>
            </w:r>
          </w:p>
        </w:tc>
        <w:tc>
          <w:tcPr>
            <w:tcW w:w="0" w:type="auto"/>
            <w:vMerge w:val="restart"/>
            <w:vAlign w:val="center"/>
          </w:tcPr>
          <w:p w14:paraId="37430C52">
            <w:pPr>
              <w:widowControl/>
              <w:jc w:val="center"/>
              <w:textAlignment w:val="center"/>
              <w:rPr>
                <w:color w:val="000000"/>
                <w:szCs w:val="21"/>
              </w:rPr>
            </w:pPr>
            <w:r>
              <w:rPr>
                <w:color w:val="000000"/>
                <w:szCs w:val="21"/>
              </w:rPr>
              <w:t>本院区3号楼负二楼肿瘤放射治疗科</w:t>
            </w:r>
          </w:p>
        </w:tc>
        <w:tc>
          <w:tcPr>
            <w:tcW w:w="0" w:type="auto"/>
            <w:vAlign w:val="center"/>
          </w:tcPr>
          <w:p w14:paraId="223C78E3">
            <w:pPr>
              <w:widowControl/>
              <w:jc w:val="center"/>
              <w:textAlignment w:val="center"/>
              <w:rPr>
                <w:color w:val="000000"/>
                <w:szCs w:val="21"/>
              </w:rPr>
            </w:pPr>
            <w:r>
              <w:rPr>
                <w:color w:val="000000"/>
                <w:szCs w:val="21"/>
              </w:rPr>
              <w:t>医用X射线计算机断层扫描（CT）装置</w:t>
            </w:r>
          </w:p>
        </w:tc>
        <w:tc>
          <w:tcPr>
            <w:tcW w:w="0" w:type="auto"/>
          </w:tcPr>
          <w:p w14:paraId="04F660CE">
            <w:pPr>
              <w:widowControl/>
              <w:jc w:val="center"/>
              <w:textAlignment w:val="center"/>
              <w:rPr>
                <w:color w:val="000000"/>
                <w:szCs w:val="21"/>
              </w:rPr>
            </w:pPr>
            <w:r>
              <w:rPr>
                <w:color w:val="000000"/>
                <w:szCs w:val="21"/>
              </w:rPr>
              <w:t>III类</w:t>
            </w:r>
          </w:p>
        </w:tc>
        <w:tc>
          <w:tcPr>
            <w:tcW w:w="0" w:type="auto"/>
            <w:vAlign w:val="center"/>
          </w:tcPr>
          <w:p w14:paraId="7AEC651F">
            <w:pPr>
              <w:widowControl/>
              <w:jc w:val="center"/>
              <w:textAlignment w:val="center"/>
              <w:rPr>
                <w:color w:val="000000"/>
                <w:szCs w:val="21"/>
              </w:rPr>
            </w:pPr>
            <w:r>
              <w:rPr>
                <w:szCs w:val="21"/>
              </w:rPr>
              <w:t>使用</w:t>
            </w:r>
          </w:p>
        </w:tc>
        <w:tc>
          <w:tcPr>
            <w:tcW w:w="0" w:type="auto"/>
            <w:vAlign w:val="center"/>
          </w:tcPr>
          <w:p w14:paraId="59F04F7F">
            <w:pPr>
              <w:widowControl/>
              <w:jc w:val="center"/>
              <w:textAlignment w:val="center"/>
              <w:rPr>
                <w:color w:val="000000"/>
                <w:szCs w:val="21"/>
              </w:rPr>
            </w:pPr>
            <w:r>
              <w:rPr>
                <w:szCs w:val="21"/>
              </w:rPr>
              <w:t>1</w:t>
            </w:r>
          </w:p>
        </w:tc>
        <w:tc>
          <w:tcPr>
            <w:tcW w:w="0" w:type="auto"/>
            <w:vAlign w:val="center"/>
          </w:tcPr>
          <w:p w14:paraId="73269114">
            <w:pPr>
              <w:widowControl/>
              <w:jc w:val="center"/>
              <w:textAlignment w:val="center"/>
              <w:rPr>
                <w:color w:val="000000"/>
                <w:szCs w:val="21"/>
              </w:rPr>
            </w:pPr>
            <w:r>
              <w:rPr>
                <w:color w:val="000000"/>
                <w:szCs w:val="21"/>
              </w:rPr>
              <w:t>CT机</w:t>
            </w:r>
          </w:p>
        </w:tc>
        <w:tc>
          <w:tcPr>
            <w:tcW w:w="0" w:type="auto"/>
            <w:vAlign w:val="center"/>
          </w:tcPr>
          <w:p w14:paraId="29989338">
            <w:pPr>
              <w:widowControl/>
              <w:jc w:val="center"/>
              <w:textAlignment w:val="center"/>
              <w:rPr>
                <w:bCs/>
                <w:color w:val="000000"/>
                <w:szCs w:val="21"/>
              </w:rPr>
            </w:pPr>
            <w:r>
              <w:rPr>
                <w:bCs/>
                <w:color w:val="000000"/>
                <w:szCs w:val="21"/>
              </w:rPr>
              <w:t>SOMATOM Definition AS</w:t>
            </w:r>
          </w:p>
        </w:tc>
        <w:tc>
          <w:tcPr>
            <w:tcW w:w="0" w:type="auto"/>
            <w:vAlign w:val="center"/>
          </w:tcPr>
          <w:p w14:paraId="5D5494FF">
            <w:pPr>
              <w:widowControl/>
              <w:jc w:val="center"/>
              <w:textAlignment w:val="center"/>
              <w:rPr>
                <w:bCs/>
                <w:color w:val="000000"/>
                <w:szCs w:val="21"/>
              </w:rPr>
            </w:pPr>
            <w:r>
              <w:rPr>
                <w:bCs/>
                <w:color w:val="000000"/>
                <w:szCs w:val="21"/>
              </w:rPr>
              <w:t>92303</w:t>
            </w:r>
          </w:p>
        </w:tc>
        <w:tc>
          <w:tcPr>
            <w:tcW w:w="0" w:type="auto"/>
            <w:vAlign w:val="center"/>
          </w:tcPr>
          <w:p w14:paraId="10E4E9AF">
            <w:pPr>
              <w:widowControl/>
              <w:jc w:val="center"/>
              <w:textAlignment w:val="center"/>
              <w:rPr>
                <w:bCs/>
                <w:color w:val="000000"/>
                <w:szCs w:val="21"/>
              </w:rPr>
            </w:pPr>
            <w:r>
              <w:rPr>
                <w:rFonts w:hint="eastAsia"/>
                <w:bCs/>
                <w:color w:val="000000"/>
                <w:szCs w:val="21"/>
              </w:rPr>
              <w:t>管电压</w:t>
            </w:r>
            <w:r>
              <w:rPr>
                <w:bCs/>
                <w:color w:val="000000"/>
                <w:szCs w:val="21"/>
              </w:rPr>
              <w:t xml:space="preserve">140kV </w:t>
            </w:r>
            <w:r>
              <w:rPr>
                <w:rFonts w:hint="eastAsia"/>
                <w:bCs/>
                <w:color w:val="000000"/>
                <w:szCs w:val="21"/>
              </w:rPr>
              <w:t>管电流</w:t>
            </w:r>
            <w:r>
              <w:rPr>
                <w:bCs/>
                <w:color w:val="000000"/>
                <w:szCs w:val="21"/>
              </w:rPr>
              <w:t>666mA</w:t>
            </w:r>
          </w:p>
        </w:tc>
        <w:tc>
          <w:tcPr>
            <w:tcW w:w="0" w:type="auto"/>
            <w:vAlign w:val="center"/>
          </w:tcPr>
          <w:p w14:paraId="38E59965">
            <w:pPr>
              <w:widowControl/>
              <w:jc w:val="center"/>
              <w:textAlignment w:val="center"/>
              <w:rPr>
                <w:bCs/>
                <w:color w:val="000000"/>
                <w:szCs w:val="21"/>
              </w:rPr>
            </w:pPr>
            <w:r>
              <w:rPr>
                <w:rFonts w:hint="eastAsia"/>
                <w:bCs/>
                <w:color w:val="000000"/>
                <w:szCs w:val="21"/>
              </w:rPr>
              <w:t>西门子</w:t>
            </w:r>
          </w:p>
        </w:tc>
      </w:tr>
      <w:tr w14:paraId="10B64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E8F5B5D">
            <w:pPr>
              <w:widowControl/>
              <w:jc w:val="center"/>
              <w:textAlignment w:val="center"/>
              <w:rPr>
                <w:b/>
                <w:color w:val="000000"/>
                <w:szCs w:val="21"/>
              </w:rPr>
            </w:pPr>
            <w:r>
              <w:rPr>
                <w:b/>
                <w:color w:val="000000"/>
                <w:szCs w:val="21"/>
              </w:rPr>
              <w:t>22</w:t>
            </w:r>
          </w:p>
        </w:tc>
        <w:tc>
          <w:tcPr>
            <w:tcW w:w="0" w:type="auto"/>
            <w:vMerge w:val="continue"/>
            <w:vAlign w:val="center"/>
          </w:tcPr>
          <w:p w14:paraId="0CB0F1BB">
            <w:pPr>
              <w:widowControl/>
              <w:jc w:val="center"/>
              <w:textAlignment w:val="center"/>
              <w:rPr>
                <w:color w:val="000000"/>
                <w:szCs w:val="21"/>
              </w:rPr>
            </w:pPr>
          </w:p>
        </w:tc>
        <w:tc>
          <w:tcPr>
            <w:tcW w:w="0" w:type="auto"/>
            <w:vAlign w:val="center"/>
          </w:tcPr>
          <w:p w14:paraId="7B36389F">
            <w:pPr>
              <w:widowControl/>
              <w:jc w:val="center"/>
              <w:textAlignment w:val="center"/>
              <w:rPr>
                <w:color w:val="000000"/>
                <w:szCs w:val="21"/>
              </w:rPr>
            </w:pPr>
            <w:r>
              <w:rPr>
                <w:color w:val="000000"/>
                <w:szCs w:val="21"/>
              </w:rPr>
              <w:t>粒子能量小于100兆电子伏的医用加速器</w:t>
            </w:r>
          </w:p>
        </w:tc>
        <w:tc>
          <w:tcPr>
            <w:tcW w:w="0" w:type="auto"/>
          </w:tcPr>
          <w:p w14:paraId="6A27139C">
            <w:pPr>
              <w:widowControl/>
              <w:jc w:val="center"/>
              <w:textAlignment w:val="center"/>
              <w:rPr>
                <w:color w:val="000000"/>
                <w:szCs w:val="21"/>
              </w:rPr>
            </w:pPr>
            <w:r>
              <w:rPr>
                <w:color w:val="000000"/>
                <w:szCs w:val="21"/>
              </w:rPr>
              <w:t>II类</w:t>
            </w:r>
          </w:p>
        </w:tc>
        <w:tc>
          <w:tcPr>
            <w:tcW w:w="0" w:type="auto"/>
            <w:vAlign w:val="center"/>
          </w:tcPr>
          <w:p w14:paraId="78283E94">
            <w:pPr>
              <w:widowControl/>
              <w:jc w:val="center"/>
              <w:textAlignment w:val="center"/>
              <w:rPr>
                <w:color w:val="000000"/>
                <w:kern w:val="0"/>
                <w:szCs w:val="21"/>
                <w:lang w:bidi="ar"/>
              </w:rPr>
            </w:pPr>
            <w:r>
              <w:rPr>
                <w:szCs w:val="21"/>
              </w:rPr>
              <w:t>使用</w:t>
            </w:r>
          </w:p>
        </w:tc>
        <w:tc>
          <w:tcPr>
            <w:tcW w:w="0" w:type="auto"/>
            <w:vAlign w:val="center"/>
          </w:tcPr>
          <w:p w14:paraId="3AF5BE15">
            <w:pPr>
              <w:widowControl/>
              <w:jc w:val="center"/>
              <w:textAlignment w:val="center"/>
              <w:rPr>
                <w:color w:val="000000"/>
                <w:kern w:val="0"/>
                <w:szCs w:val="21"/>
                <w:lang w:bidi="ar"/>
              </w:rPr>
            </w:pPr>
            <w:r>
              <w:rPr>
                <w:szCs w:val="21"/>
              </w:rPr>
              <w:t>1</w:t>
            </w:r>
          </w:p>
        </w:tc>
        <w:tc>
          <w:tcPr>
            <w:tcW w:w="0" w:type="auto"/>
            <w:vAlign w:val="center"/>
          </w:tcPr>
          <w:p w14:paraId="008A1176">
            <w:pPr>
              <w:widowControl/>
              <w:jc w:val="center"/>
              <w:textAlignment w:val="center"/>
              <w:rPr>
                <w:color w:val="000000"/>
                <w:szCs w:val="21"/>
              </w:rPr>
            </w:pPr>
            <w:r>
              <w:rPr>
                <w:color w:val="000000"/>
                <w:szCs w:val="21"/>
              </w:rPr>
              <w:t>直线加速器</w:t>
            </w:r>
          </w:p>
        </w:tc>
        <w:tc>
          <w:tcPr>
            <w:tcW w:w="0" w:type="auto"/>
            <w:vAlign w:val="center"/>
          </w:tcPr>
          <w:p w14:paraId="4BCC8993">
            <w:pPr>
              <w:widowControl/>
              <w:jc w:val="center"/>
              <w:rPr>
                <w:color w:val="000000"/>
                <w:szCs w:val="21"/>
              </w:rPr>
            </w:pPr>
            <w:r>
              <w:rPr>
                <w:color w:val="000000"/>
                <w:szCs w:val="21"/>
              </w:rPr>
              <w:t>Halcyon</w:t>
            </w:r>
          </w:p>
        </w:tc>
        <w:tc>
          <w:tcPr>
            <w:tcW w:w="0" w:type="auto"/>
            <w:vAlign w:val="center"/>
          </w:tcPr>
          <w:p w14:paraId="00C69E9B">
            <w:pPr>
              <w:widowControl/>
              <w:jc w:val="center"/>
              <w:rPr>
                <w:color w:val="000000"/>
                <w:szCs w:val="21"/>
              </w:rPr>
            </w:pPr>
            <w:r>
              <w:rPr>
                <w:color w:val="000000"/>
                <w:szCs w:val="21"/>
              </w:rPr>
              <w:t>2075</w:t>
            </w:r>
          </w:p>
        </w:tc>
        <w:tc>
          <w:tcPr>
            <w:tcW w:w="0" w:type="auto"/>
            <w:vAlign w:val="center"/>
          </w:tcPr>
          <w:p w14:paraId="5EBF42D9">
            <w:pPr>
              <w:widowControl/>
              <w:jc w:val="center"/>
              <w:rPr>
                <w:color w:val="000000"/>
                <w:szCs w:val="21"/>
              </w:rPr>
            </w:pPr>
            <w:r>
              <w:rPr>
                <w:color w:val="000000"/>
                <w:szCs w:val="21"/>
              </w:rPr>
              <w:t>粒子能量6MeV</w:t>
            </w:r>
          </w:p>
        </w:tc>
        <w:tc>
          <w:tcPr>
            <w:tcW w:w="0" w:type="auto"/>
            <w:vAlign w:val="center"/>
          </w:tcPr>
          <w:p w14:paraId="6A7474EB">
            <w:pPr>
              <w:widowControl/>
              <w:jc w:val="center"/>
              <w:rPr>
                <w:color w:val="000000"/>
                <w:szCs w:val="21"/>
              </w:rPr>
            </w:pPr>
            <w:r>
              <w:rPr>
                <w:color w:val="000000"/>
                <w:szCs w:val="21"/>
              </w:rPr>
              <w:t>瓦里安</w:t>
            </w:r>
          </w:p>
        </w:tc>
      </w:tr>
      <w:tr w14:paraId="13219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3C62E4EA">
            <w:pPr>
              <w:widowControl/>
              <w:jc w:val="center"/>
              <w:textAlignment w:val="center"/>
              <w:rPr>
                <w:b/>
                <w:color w:val="000000"/>
                <w:szCs w:val="21"/>
              </w:rPr>
            </w:pPr>
            <w:r>
              <w:rPr>
                <w:b/>
                <w:color w:val="000000"/>
                <w:szCs w:val="21"/>
              </w:rPr>
              <w:t>23</w:t>
            </w:r>
          </w:p>
        </w:tc>
        <w:tc>
          <w:tcPr>
            <w:tcW w:w="0" w:type="auto"/>
            <w:vMerge w:val="continue"/>
            <w:vAlign w:val="center"/>
          </w:tcPr>
          <w:p w14:paraId="38F4BCAD">
            <w:pPr>
              <w:widowControl/>
              <w:jc w:val="center"/>
              <w:textAlignment w:val="center"/>
              <w:rPr>
                <w:color w:val="000000"/>
                <w:szCs w:val="21"/>
              </w:rPr>
            </w:pPr>
          </w:p>
        </w:tc>
        <w:tc>
          <w:tcPr>
            <w:tcW w:w="0" w:type="auto"/>
            <w:vAlign w:val="center"/>
          </w:tcPr>
          <w:p w14:paraId="1FF70042">
            <w:pPr>
              <w:widowControl/>
              <w:jc w:val="center"/>
              <w:textAlignment w:val="center"/>
              <w:rPr>
                <w:color w:val="000000"/>
                <w:szCs w:val="21"/>
              </w:rPr>
            </w:pPr>
            <w:r>
              <w:rPr>
                <w:color w:val="000000"/>
                <w:szCs w:val="21"/>
              </w:rPr>
              <w:t>粒子能量小于100兆电子伏的医用加速器</w:t>
            </w:r>
          </w:p>
        </w:tc>
        <w:tc>
          <w:tcPr>
            <w:tcW w:w="0" w:type="auto"/>
          </w:tcPr>
          <w:p w14:paraId="61D19B6C">
            <w:pPr>
              <w:widowControl/>
              <w:jc w:val="center"/>
              <w:textAlignment w:val="center"/>
              <w:rPr>
                <w:color w:val="000000"/>
                <w:szCs w:val="21"/>
              </w:rPr>
            </w:pPr>
            <w:r>
              <w:rPr>
                <w:color w:val="000000"/>
                <w:szCs w:val="21"/>
              </w:rPr>
              <w:t>II类</w:t>
            </w:r>
          </w:p>
        </w:tc>
        <w:tc>
          <w:tcPr>
            <w:tcW w:w="0" w:type="auto"/>
            <w:vAlign w:val="center"/>
          </w:tcPr>
          <w:p w14:paraId="414467F5">
            <w:pPr>
              <w:widowControl/>
              <w:jc w:val="center"/>
              <w:textAlignment w:val="center"/>
              <w:rPr>
                <w:color w:val="000000"/>
                <w:kern w:val="0"/>
                <w:szCs w:val="21"/>
                <w:lang w:bidi="ar"/>
              </w:rPr>
            </w:pPr>
            <w:r>
              <w:rPr>
                <w:szCs w:val="21"/>
              </w:rPr>
              <w:t>使用</w:t>
            </w:r>
          </w:p>
        </w:tc>
        <w:tc>
          <w:tcPr>
            <w:tcW w:w="0" w:type="auto"/>
            <w:vAlign w:val="center"/>
          </w:tcPr>
          <w:p w14:paraId="78550727">
            <w:pPr>
              <w:widowControl/>
              <w:jc w:val="center"/>
              <w:textAlignment w:val="center"/>
              <w:rPr>
                <w:color w:val="000000"/>
                <w:kern w:val="0"/>
                <w:szCs w:val="21"/>
                <w:lang w:bidi="ar"/>
              </w:rPr>
            </w:pPr>
            <w:r>
              <w:rPr>
                <w:szCs w:val="21"/>
              </w:rPr>
              <w:t>1</w:t>
            </w:r>
          </w:p>
        </w:tc>
        <w:tc>
          <w:tcPr>
            <w:tcW w:w="0" w:type="auto"/>
            <w:vAlign w:val="center"/>
          </w:tcPr>
          <w:p w14:paraId="71006B9C">
            <w:pPr>
              <w:widowControl/>
              <w:jc w:val="center"/>
              <w:textAlignment w:val="center"/>
              <w:rPr>
                <w:color w:val="000000"/>
                <w:szCs w:val="21"/>
              </w:rPr>
            </w:pPr>
            <w:r>
              <w:rPr>
                <w:color w:val="000000"/>
                <w:szCs w:val="21"/>
              </w:rPr>
              <w:t>直线加速器</w:t>
            </w:r>
          </w:p>
        </w:tc>
        <w:tc>
          <w:tcPr>
            <w:tcW w:w="0" w:type="auto"/>
            <w:vAlign w:val="center"/>
          </w:tcPr>
          <w:p w14:paraId="382D3709">
            <w:pPr>
              <w:widowControl/>
              <w:jc w:val="center"/>
              <w:rPr>
                <w:color w:val="000000"/>
                <w:szCs w:val="21"/>
              </w:rPr>
            </w:pPr>
            <w:r>
              <w:rPr>
                <w:color w:val="000000"/>
                <w:szCs w:val="21"/>
              </w:rPr>
              <w:t>Synergy</w:t>
            </w:r>
          </w:p>
        </w:tc>
        <w:tc>
          <w:tcPr>
            <w:tcW w:w="0" w:type="auto"/>
            <w:vAlign w:val="center"/>
          </w:tcPr>
          <w:p w14:paraId="39A51562">
            <w:pPr>
              <w:widowControl/>
              <w:jc w:val="center"/>
              <w:rPr>
                <w:color w:val="000000"/>
                <w:szCs w:val="21"/>
              </w:rPr>
            </w:pPr>
            <w:r>
              <w:rPr>
                <w:color w:val="000000"/>
                <w:szCs w:val="21"/>
              </w:rPr>
              <w:t>154019</w:t>
            </w:r>
          </w:p>
        </w:tc>
        <w:tc>
          <w:tcPr>
            <w:tcW w:w="0" w:type="auto"/>
            <w:vAlign w:val="center"/>
          </w:tcPr>
          <w:p w14:paraId="0D322486">
            <w:pPr>
              <w:widowControl/>
              <w:jc w:val="center"/>
              <w:rPr>
                <w:color w:val="000000"/>
                <w:szCs w:val="21"/>
              </w:rPr>
            </w:pPr>
            <w:r>
              <w:rPr>
                <w:color w:val="000000"/>
                <w:szCs w:val="21"/>
              </w:rPr>
              <w:t>粒子能量15MeV</w:t>
            </w:r>
          </w:p>
        </w:tc>
        <w:tc>
          <w:tcPr>
            <w:tcW w:w="0" w:type="auto"/>
            <w:vAlign w:val="center"/>
          </w:tcPr>
          <w:p w14:paraId="57AFECF0">
            <w:pPr>
              <w:widowControl/>
              <w:jc w:val="center"/>
              <w:rPr>
                <w:color w:val="000000"/>
                <w:szCs w:val="21"/>
              </w:rPr>
            </w:pPr>
            <w:r>
              <w:rPr>
                <w:color w:val="000000"/>
                <w:szCs w:val="21"/>
              </w:rPr>
              <w:t>医科达</w:t>
            </w:r>
          </w:p>
        </w:tc>
      </w:tr>
      <w:tr w14:paraId="75626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0BE697CB">
            <w:pPr>
              <w:widowControl/>
              <w:jc w:val="center"/>
              <w:textAlignment w:val="center"/>
              <w:rPr>
                <w:b/>
                <w:color w:val="000000"/>
                <w:szCs w:val="21"/>
              </w:rPr>
            </w:pPr>
            <w:r>
              <w:rPr>
                <w:b/>
                <w:color w:val="000000"/>
                <w:szCs w:val="21"/>
              </w:rPr>
              <w:t>24</w:t>
            </w:r>
          </w:p>
        </w:tc>
        <w:tc>
          <w:tcPr>
            <w:tcW w:w="0" w:type="auto"/>
            <w:vMerge w:val="restart"/>
            <w:vAlign w:val="center"/>
          </w:tcPr>
          <w:p w14:paraId="2859F5CE">
            <w:pPr>
              <w:widowControl/>
              <w:jc w:val="center"/>
              <w:textAlignment w:val="center"/>
              <w:rPr>
                <w:color w:val="000000"/>
                <w:szCs w:val="21"/>
              </w:rPr>
            </w:pPr>
            <w:r>
              <w:rPr>
                <w:color w:val="000000"/>
                <w:szCs w:val="21"/>
              </w:rPr>
              <w:t>本院区3号楼负一楼核医学科</w:t>
            </w:r>
          </w:p>
        </w:tc>
        <w:tc>
          <w:tcPr>
            <w:tcW w:w="0" w:type="auto"/>
          </w:tcPr>
          <w:p w14:paraId="1E379603">
            <w:pPr>
              <w:widowControl/>
              <w:jc w:val="center"/>
              <w:textAlignment w:val="center"/>
              <w:rPr>
                <w:color w:val="000000"/>
                <w:szCs w:val="21"/>
              </w:rPr>
            </w:pPr>
            <w:r>
              <w:rPr>
                <w:color w:val="000000"/>
                <w:szCs w:val="21"/>
              </w:rPr>
              <w:t>医用诊断X射线装置</w:t>
            </w:r>
          </w:p>
        </w:tc>
        <w:tc>
          <w:tcPr>
            <w:tcW w:w="0" w:type="auto"/>
          </w:tcPr>
          <w:p w14:paraId="5582B114">
            <w:pPr>
              <w:jc w:val="center"/>
              <w:rPr>
                <w:szCs w:val="21"/>
              </w:rPr>
            </w:pPr>
            <w:r>
              <w:rPr>
                <w:color w:val="000000"/>
                <w:szCs w:val="21"/>
              </w:rPr>
              <w:t>III类</w:t>
            </w:r>
          </w:p>
        </w:tc>
        <w:tc>
          <w:tcPr>
            <w:tcW w:w="0" w:type="auto"/>
            <w:vAlign w:val="center"/>
          </w:tcPr>
          <w:p w14:paraId="11D02AC1">
            <w:pPr>
              <w:widowControl/>
              <w:jc w:val="center"/>
              <w:textAlignment w:val="center"/>
              <w:rPr>
                <w:color w:val="000000"/>
                <w:kern w:val="0"/>
                <w:szCs w:val="21"/>
                <w:lang w:bidi="ar"/>
              </w:rPr>
            </w:pPr>
            <w:r>
              <w:rPr>
                <w:szCs w:val="21"/>
              </w:rPr>
              <w:t>使用</w:t>
            </w:r>
          </w:p>
        </w:tc>
        <w:tc>
          <w:tcPr>
            <w:tcW w:w="0" w:type="auto"/>
            <w:vAlign w:val="center"/>
          </w:tcPr>
          <w:p w14:paraId="7A04E376">
            <w:pPr>
              <w:widowControl/>
              <w:jc w:val="center"/>
              <w:textAlignment w:val="center"/>
              <w:rPr>
                <w:color w:val="000000"/>
                <w:kern w:val="0"/>
                <w:szCs w:val="21"/>
                <w:lang w:bidi="ar"/>
              </w:rPr>
            </w:pPr>
            <w:r>
              <w:rPr>
                <w:szCs w:val="21"/>
              </w:rPr>
              <w:t>1</w:t>
            </w:r>
          </w:p>
        </w:tc>
        <w:tc>
          <w:tcPr>
            <w:tcW w:w="0" w:type="auto"/>
            <w:vAlign w:val="center"/>
          </w:tcPr>
          <w:p w14:paraId="28970C4C">
            <w:pPr>
              <w:jc w:val="center"/>
              <w:rPr>
                <w:szCs w:val="21"/>
              </w:rPr>
            </w:pPr>
            <w:r>
              <w:rPr>
                <w:szCs w:val="21"/>
              </w:rPr>
              <w:t>骨密度仪</w:t>
            </w:r>
          </w:p>
        </w:tc>
        <w:tc>
          <w:tcPr>
            <w:tcW w:w="0" w:type="auto"/>
            <w:vAlign w:val="center"/>
          </w:tcPr>
          <w:p w14:paraId="45BF7EC6">
            <w:pPr>
              <w:jc w:val="center"/>
              <w:rPr>
                <w:szCs w:val="21"/>
              </w:rPr>
            </w:pPr>
            <w:r>
              <w:rPr>
                <w:szCs w:val="21"/>
              </w:rPr>
              <w:t>Discovery A</w:t>
            </w:r>
          </w:p>
        </w:tc>
        <w:tc>
          <w:tcPr>
            <w:tcW w:w="0" w:type="auto"/>
            <w:vAlign w:val="center"/>
          </w:tcPr>
          <w:p w14:paraId="5E6F507D">
            <w:pPr>
              <w:jc w:val="center"/>
              <w:rPr>
                <w:szCs w:val="21"/>
              </w:rPr>
            </w:pPr>
            <w:r>
              <w:rPr>
                <w:szCs w:val="21"/>
              </w:rPr>
              <w:t>85138</w:t>
            </w:r>
          </w:p>
        </w:tc>
        <w:tc>
          <w:tcPr>
            <w:tcW w:w="0" w:type="auto"/>
            <w:vAlign w:val="center"/>
          </w:tcPr>
          <w:p w14:paraId="6F6FAE17">
            <w:pPr>
              <w:jc w:val="center"/>
              <w:rPr>
                <w:szCs w:val="21"/>
              </w:rPr>
            </w:pPr>
            <w:r>
              <w:rPr>
                <w:szCs w:val="21"/>
              </w:rPr>
              <w:t>管电压140kV</w:t>
            </w:r>
          </w:p>
          <w:p w14:paraId="2A768AAA">
            <w:pPr>
              <w:jc w:val="center"/>
              <w:rPr>
                <w:szCs w:val="21"/>
              </w:rPr>
            </w:pPr>
            <w:r>
              <w:rPr>
                <w:szCs w:val="21"/>
              </w:rPr>
              <w:t>管电流4mA</w:t>
            </w:r>
          </w:p>
        </w:tc>
        <w:tc>
          <w:tcPr>
            <w:tcW w:w="0" w:type="auto"/>
            <w:vAlign w:val="center"/>
          </w:tcPr>
          <w:p w14:paraId="20B25B39">
            <w:pPr>
              <w:jc w:val="center"/>
              <w:rPr>
                <w:szCs w:val="21"/>
              </w:rPr>
            </w:pPr>
            <w:r>
              <w:rPr>
                <w:szCs w:val="21"/>
              </w:rPr>
              <w:t>Hologic</w:t>
            </w:r>
          </w:p>
        </w:tc>
      </w:tr>
      <w:tr w14:paraId="08742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C1A3D7D">
            <w:pPr>
              <w:widowControl/>
              <w:jc w:val="center"/>
              <w:textAlignment w:val="center"/>
              <w:rPr>
                <w:b/>
                <w:color w:val="000000"/>
                <w:szCs w:val="21"/>
              </w:rPr>
            </w:pPr>
            <w:r>
              <w:rPr>
                <w:b/>
                <w:color w:val="000000"/>
                <w:szCs w:val="21"/>
              </w:rPr>
              <w:t>25</w:t>
            </w:r>
          </w:p>
        </w:tc>
        <w:tc>
          <w:tcPr>
            <w:tcW w:w="0" w:type="auto"/>
            <w:vMerge w:val="continue"/>
            <w:vAlign w:val="center"/>
          </w:tcPr>
          <w:p w14:paraId="75B5C849">
            <w:pPr>
              <w:widowControl/>
              <w:jc w:val="center"/>
              <w:textAlignment w:val="center"/>
              <w:rPr>
                <w:color w:val="000000"/>
                <w:szCs w:val="21"/>
              </w:rPr>
            </w:pPr>
          </w:p>
        </w:tc>
        <w:tc>
          <w:tcPr>
            <w:tcW w:w="0" w:type="auto"/>
          </w:tcPr>
          <w:p w14:paraId="59D19D97">
            <w:pPr>
              <w:widowControl/>
              <w:jc w:val="center"/>
              <w:textAlignment w:val="center"/>
              <w:rPr>
                <w:color w:val="000000"/>
                <w:szCs w:val="21"/>
              </w:rPr>
            </w:pPr>
            <w:r>
              <w:rPr>
                <w:color w:val="000000"/>
                <w:szCs w:val="21"/>
              </w:rPr>
              <w:t>医用诊断X射线装置</w:t>
            </w:r>
          </w:p>
        </w:tc>
        <w:tc>
          <w:tcPr>
            <w:tcW w:w="0" w:type="auto"/>
          </w:tcPr>
          <w:p w14:paraId="59979A79">
            <w:pPr>
              <w:jc w:val="center"/>
              <w:rPr>
                <w:szCs w:val="21"/>
              </w:rPr>
            </w:pPr>
            <w:r>
              <w:rPr>
                <w:color w:val="000000"/>
                <w:szCs w:val="21"/>
              </w:rPr>
              <w:t>III类</w:t>
            </w:r>
          </w:p>
        </w:tc>
        <w:tc>
          <w:tcPr>
            <w:tcW w:w="0" w:type="auto"/>
            <w:vAlign w:val="center"/>
          </w:tcPr>
          <w:p w14:paraId="280DEE06">
            <w:pPr>
              <w:widowControl/>
              <w:jc w:val="center"/>
              <w:textAlignment w:val="center"/>
              <w:rPr>
                <w:color w:val="000000"/>
                <w:kern w:val="0"/>
                <w:szCs w:val="21"/>
                <w:lang w:bidi="ar"/>
              </w:rPr>
            </w:pPr>
            <w:r>
              <w:rPr>
                <w:szCs w:val="21"/>
              </w:rPr>
              <w:t>使用</w:t>
            </w:r>
          </w:p>
        </w:tc>
        <w:tc>
          <w:tcPr>
            <w:tcW w:w="0" w:type="auto"/>
            <w:vAlign w:val="center"/>
          </w:tcPr>
          <w:p w14:paraId="39711C65">
            <w:pPr>
              <w:widowControl/>
              <w:jc w:val="center"/>
              <w:textAlignment w:val="center"/>
              <w:rPr>
                <w:color w:val="000000"/>
                <w:kern w:val="0"/>
                <w:szCs w:val="21"/>
                <w:lang w:bidi="ar"/>
              </w:rPr>
            </w:pPr>
            <w:r>
              <w:rPr>
                <w:szCs w:val="21"/>
              </w:rPr>
              <w:t>1</w:t>
            </w:r>
          </w:p>
        </w:tc>
        <w:tc>
          <w:tcPr>
            <w:tcW w:w="0" w:type="auto"/>
            <w:vAlign w:val="center"/>
          </w:tcPr>
          <w:p w14:paraId="435B1BB8">
            <w:pPr>
              <w:jc w:val="center"/>
              <w:rPr>
                <w:szCs w:val="21"/>
              </w:rPr>
            </w:pPr>
            <w:r>
              <w:rPr>
                <w:szCs w:val="21"/>
              </w:rPr>
              <w:t>双能X射线骨密度仪</w:t>
            </w:r>
          </w:p>
        </w:tc>
        <w:tc>
          <w:tcPr>
            <w:tcW w:w="0" w:type="auto"/>
            <w:vAlign w:val="center"/>
          </w:tcPr>
          <w:p w14:paraId="19433132">
            <w:pPr>
              <w:jc w:val="center"/>
              <w:rPr>
                <w:szCs w:val="21"/>
              </w:rPr>
            </w:pPr>
            <w:r>
              <w:rPr>
                <w:szCs w:val="21"/>
              </w:rPr>
              <w:t>Horizon-A</w:t>
            </w:r>
          </w:p>
        </w:tc>
        <w:tc>
          <w:tcPr>
            <w:tcW w:w="0" w:type="auto"/>
            <w:vAlign w:val="center"/>
          </w:tcPr>
          <w:p w14:paraId="41C30C5A">
            <w:pPr>
              <w:jc w:val="center"/>
              <w:rPr>
                <w:szCs w:val="21"/>
              </w:rPr>
            </w:pPr>
            <w:r>
              <w:rPr>
                <w:szCs w:val="21"/>
              </w:rPr>
              <w:t>307246M</w:t>
            </w:r>
          </w:p>
        </w:tc>
        <w:tc>
          <w:tcPr>
            <w:tcW w:w="0" w:type="auto"/>
            <w:vAlign w:val="center"/>
          </w:tcPr>
          <w:p w14:paraId="72BDB395">
            <w:pPr>
              <w:jc w:val="center"/>
              <w:rPr>
                <w:szCs w:val="21"/>
              </w:rPr>
            </w:pPr>
            <w:r>
              <w:rPr>
                <w:szCs w:val="21"/>
              </w:rPr>
              <w:t>管电压160kV</w:t>
            </w:r>
          </w:p>
          <w:p w14:paraId="729F41A1">
            <w:pPr>
              <w:jc w:val="center"/>
              <w:rPr>
                <w:szCs w:val="21"/>
              </w:rPr>
            </w:pPr>
            <w:r>
              <w:rPr>
                <w:szCs w:val="21"/>
              </w:rPr>
              <w:t>管电流10mA</w:t>
            </w:r>
          </w:p>
        </w:tc>
        <w:tc>
          <w:tcPr>
            <w:tcW w:w="0" w:type="auto"/>
            <w:vAlign w:val="center"/>
          </w:tcPr>
          <w:p w14:paraId="62A5A9E8">
            <w:pPr>
              <w:jc w:val="center"/>
              <w:rPr>
                <w:szCs w:val="21"/>
              </w:rPr>
            </w:pPr>
            <w:r>
              <w:rPr>
                <w:szCs w:val="21"/>
              </w:rPr>
              <w:t>Hologic</w:t>
            </w:r>
          </w:p>
        </w:tc>
      </w:tr>
      <w:tr w14:paraId="3E3DD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A76D694">
            <w:pPr>
              <w:widowControl/>
              <w:jc w:val="center"/>
              <w:textAlignment w:val="center"/>
              <w:rPr>
                <w:b/>
                <w:color w:val="000000"/>
                <w:szCs w:val="21"/>
              </w:rPr>
            </w:pPr>
            <w:r>
              <w:rPr>
                <w:b/>
                <w:color w:val="000000"/>
                <w:szCs w:val="21"/>
              </w:rPr>
              <w:t>26</w:t>
            </w:r>
          </w:p>
        </w:tc>
        <w:tc>
          <w:tcPr>
            <w:tcW w:w="0" w:type="auto"/>
            <w:vMerge w:val="continue"/>
            <w:vAlign w:val="center"/>
          </w:tcPr>
          <w:p w14:paraId="6C12EC6A">
            <w:pPr>
              <w:widowControl/>
              <w:jc w:val="center"/>
              <w:textAlignment w:val="center"/>
              <w:rPr>
                <w:color w:val="000000"/>
                <w:szCs w:val="21"/>
              </w:rPr>
            </w:pPr>
          </w:p>
        </w:tc>
        <w:tc>
          <w:tcPr>
            <w:tcW w:w="0" w:type="auto"/>
          </w:tcPr>
          <w:p w14:paraId="2D0499FE">
            <w:pPr>
              <w:widowControl/>
              <w:jc w:val="center"/>
              <w:textAlignment w:val="center"/>
              <w:rPr>
                <w:color w:val="000000"/>
                <w:szCs w:val="21"/>
              </w:rPr>
            </w:pPr>
            <w:r>
              <w:rPr>
                <w:color w:val="000000"/>
                <w:szCs w:val="21"/>
              </w:rPr>
              <w:t>医用诊断X射线装置</w:t>
            </w:r>
          </w:p>
        </w:tc>
        <w:tc>
          <w:tcPr>
            <w:tcW w:w="0" w:type="auto"/>
          </w:tcPr>
          <w:p w14:paraId="249465F0">
            <w:pPr>
              <w:widowControl/>
              <w:jc w:val="center"/>
              <w:textAlignment w:val="center"/>
              <w:rPr>
                <w:color w:val="000000"/>
                <w:szCs w:val="21"/>
              </w:rPr>
            </w:pPr>
            <w:r>
              <w:rPr>
                <w:color w:val="000000"/>
                <w:szCs w:val="21"/>
              </w:rPr>
              <w:t>III类</w:t>
            </w:r>
          </w:p>
        </w:tc>
        <w:tc>
          <w:tcPr>
            <w:tcW w:w="0" w:type="auto"/>
            <w:vAlign w:val="center"/>
          </w:tcPr>
          <w:p w14:paraId="6C1778A8">
            <w:pPr>
              <w:widowControl/>
              <w:jc w:val="center"/>
              <w:textAlignment w:val="center"/>
              <w:rPr>
                <w:color w:val="000000"/>
                <w:kern w:val="0"/>
                <w:szCs w:val="21"/>
                <w:lang w:bidi="ar"/>
              </w:rPr>
            </w:pPr>
            <w:r>
              <w:rPr>
                <w:szCs w:val="21"/>
              </w:rPr>
              <w:t>使用</w:t>
            </w:r>
          </w:p>
        </w:tc>
        <w:tc>
          <w:tcPr>
            <w:tcW w:w="0" w:type="auto"/>
            <w:vAlign w:val="center"/>
          </w:tcPr>
          <w:p w14:paraId="5B7CC861">
            <w:pPr>
              <w:widowControl/>
              <w:jc w:val="center"/>
              <w:textAlignment w:val="center"/>
              <w:rPr>
                <w:color w:val="000000"/>
                <w:kern w:val="0"/>
                <w:szCs w:val="21"/>
                <w:lang w:bidi="ar"/>
              </w:rPr>
            </w:pPr>
            <w:r>
              <w:rPr>
                <w:szCs w:val="21"/>
              </w:rPr>
              <w:t>1</w:t>
            </w:r>
          </w:p>
        </w:tc>
        <w:tc>
          <w:tcPr>
            <w:tcW w:w="0" w:type="auto"/>
            <w:vAlign w:val="center"/>
          </w:tcPr>
          <w:p w14:paraId="5D201B1C">
            <w:pPr>
              <w:widowControl/>
              <w:jc w:val="center"/>
              <w:textAlignment w:val="center"/>
              <w:rPr>
                <w:color w:val="000000"/>
                <w:szCs w:val="21"/>
              </w:rPr>
            </w:pPr>
            <w:r>
              <w:rPr>
                <w:szCs w:val="21"/>
              </w:rPr>
              <w:t>双能X射线骨密度仪</w:t>
            </w:r>
          </w:p>
        </w:tc>
        <w:tc>
          <w:tcPr>
            <w:tcW w:w="0" w:type="auto"/>
            <w:vAlign w:val="center"/>
          </w:tcPr>
          <w:p w14:paraId="33BCF443">
            <w:pPr>
              <w:widowControl/>
              <w:jc w:val="center"/>
              <w:rPr>
                <w:color w:val="000000"/>
                <w:szCs w:val="21"/>
              </w:rPr>
            </w:pPr>
            <w:r>
              <w:rPr>
                <w:color w:val="000000"/>
                <w:szCs w:val="21"/>
              </w:rPr>
              <w:t>HORIZON-A</w:t>
            </w:r>
          </w:p>
        </w:tc>
        <w:tc>
          <w:tcPr>
            <w:tcW w:w="0" w:type="auto"/>
            <w:vAlign w:val="center"/>
          </w:tcPr>
          <w:p w14:paraId="72F3882D">
            <w:pPr>
              <w:widowControl/>
              <w:jc w:val="center"/>
              <w:rPr>
                <w:color w:val="000000"/>
                <w:szCs w:val="21"/>
              </w:rPr>
            </w:pPr>
            <w:r>
              <w:rPr>
                <w:color w:val="000000"/>
                <w:szCs w:val="21"/>
              </w:rPr>
              <w:t>307246M</w:t>
            </w:r>
          </w:p>
        </w:tc>
        <w:tc>
          <w:tcPr>
            <w:tcW w:w="0" w:type="auto"/>
            <w:vAlign w:val="center"/>
          </w:tcPr>
          <w:p w14:paraId="03BC1E63">
            <w:pPr>
              <w:jc w:val="center"/>
              <w:rPr>
                <w:szCs w:val="21"/>
              </w:rPr>
            </w:pPr>
            <w:r>
              <w:rPr>
                <w:szCs w:val="21"/>
              </w:rPr>
              <w:t>管电压140kV</w:t>
            </w:r>
          </w:p>
          <w:p w14:paraId="62E66F24">
            <w:pPr>
              <w:widowControl/>
              <w:jc w:val="center"/>
              <w:rPr>
                <w:color w:val="000000"/>
                <w:szCs w:val="21"/>
              </w:rPr>
            </w:pPr>
            <w:r>
              <w:rPr>
                <w:szCs w:val="21"/>
              </w:rPr>
              <w:t>管电流10mA</w:t>
            </w:r>
          </w:p>
        </w:tc>
        <w:tc>
          <w:tcPr>
            <w:tcW w:w="0" w:type="auto"/>
            <w:vAlign w:val="center"/>
          </w:tcPr>
          <w:p w14:paraId="3D42943E">
            <w:pPr>
              <w:widowControl/>
              <w:jc w:val="center"/>
              <w:rPr>
                <w:color w:val="000000"/>
                <w:szCs w:val="21"/>
              </w:rPr>
            </w:pPr>
            <w:r>
              <w:rPr>
                <w:szCs w:val="21"/>
              </w:rPr>
              <w:t>Hologic</w:t>
            </w:r>
          </w:p>
        </w:tc>
      </w:tr>
      <w:tr w14:paraId="03267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4AF6FFF">
            <w:pPr>
              <w:widowControl/>
              <w:jc w:val="center"/>
              <w:textAlignment w:val="center"/>
              <w:rPr>
                <w:b/>
                <w:color w:val="000000"/>
                <w:szCs w:val="21"/>
              </w:rPr>
            </w:pPr>
            <w:r>
              <w:rPr>
                <w:b/>
                <w:color w:val="000000"/>
                <w:szCs w:val="21"/>
              </w:rPr>
              <w:t>27</w:t>
            </w:r>
          </w:p>
        </w:tc>
        <w:tc>
          <w:tcPr>
            <w:tcW w:w="0" w:type="auto"/>
            <w:vMerge w:val="continue"/>
            <w:vAlign w:val="center"/>
          </w:tcPr>
          <w:p w14:paraId="3968637A">
            <w:pPr>
              <w:widowControl/>
              <w:jc w:val="center"/>
              <w:textAlignment w:val="center"/>
              <w:rPr>
                <w:color w:val="000000"/>
                <w:szCs w:val="21"/>
              </w:rPr>
            </w:pPr>
          </w:p>
        </w:tc>
        <w:tc>
          <w:tcPr>
            <w:tcW w:w="0" w:type="auto"/>
          </w:tcPr>
          <w:p w14:paraId="74BD10FD">
            <w:pPr>
              <w:widowControl/>
              <w:jc w:val="center"/>
              <w:textAlignment w:val="center"/>
              <w:rPr>
                <w:color w:val="000000"/>
                <w:szCs w:val="21"/>
              </w:rPr>
            </w:pPr>
            <w:r>
              <w:rPr>
                <w:color w:val="000000"/>
                <w:szCs w:val="21"/>
              </w:rPr>
              <w:t>医用X射线计算机断层扫描（CT）装置</w:t>
            </w:r>
          </w:p>
        </w:tc>
        <w:tc>
          <w:tcPr>
            <w:tcW w:w="0" w:type="auto"/>
          </w:tcPr>
          <w:p w14:paraId="1441B9AA">
            <w:pPr>
              <w:widowControl/>
              <w:jc w:val="center"/>
              <w:textAlignment w:val="center"/>
              <w:rPr>
                <w:color w:val="000000"/>
                <w:szCs w:val="21"/>
              </w:rPr>
            </w:pPr>
            <w:r>
              <w:rPr>
                <w:color w:val="000000"/>
                <w:szCs w:val="21"/>
              </w:rPr>
              <w:t>III类</w:t>
            </w:r>
          </w:p>
        </w:tc>
        <w:tc>
          <w:tcPr>
            <w:tcW w:w="0" w:type="auto"/>
            <w:vAlign w:val="center"/>
          </w:tcPr>
          <w:p w14:paraId="387C7D0F">
            <w:pPr>
              <w:widowControl/>
              <w:jc w:val="center"/>
              <w:textAlignment w:val="center"/>
              <w:rPr>
                <w:color w:val="000000"/>
                <w:szCs w:val="21"/>
              </w:rPr>
            </w:pPr>
            <w:r>
              <w:rPr>
                <w:szCs w:val="21"/>
              </w:rPr>
              <w:t>使用</w:t>
            </w:r>
          </w:p>
        </w:tc>
        <w:tc>
          <w:tcPr>
            <w:tcW w:w="0" w:type="auto"/>
            <w:vAlign w:val="center"/>
          </w:tcPr>
          <w:p w14:paraId="1AD67B2C">
            <w:pPr>
              <w:widowControl/>
              <w:jc w:val="center"/>
              <w:textAlignment w:val="center"/>
              <w:rPr>
                <w:color w:val="000000"/>
                <w:szCs w:val="21"/>
              </w:rPr>
            </w:pPr>
            <w:r>
              <w:rPr>
                <w:szCs w:val="21"/>
              </w:rPr>
              <w:t>1</w:t>
            </w:r>
          </w:p>
        </w:tc>
        <w:tc>
          <w:tcPr>
            <w:tcW w:w="0" w:type="auto"/>
            <w:vAlign w:val="center"/>
          </w:tcPr>
          <w:p w14:paraId="31400ED8">
            <w:pPr>
              <w:widowControl/>
              <w:jc w:val="center"/>
              <w:textAlignment w:val="center"/>
              <w:rPr>
                <w:color w:val="000000"/>
                <w:szCs w:val="21"/>
              </w:rPr>
            </w:pPr>
            <w:r>
              <w:rPr>
                <w:color w:val="000000"/>
                <w:szCs w:val="21"/>
              </w:rPr>
              <w:t>PET/CT</w:t>
            </w:r>
          </w:p>
        </w:tc>
        <w:tc>
          <w:tcPr>
            <w:tcW w:w="0" w:type="auto"/>
            <w:vAlign w:val="center"/>
          </w:tcPr>
          <w:p w14:paraId="01862F5E">
            <w:pPr>
              <w:widowControl/>
              <w:jc w:val="center"/>
              <w:rPr>
                <w:color w:val="000000"/>
                <w:szCs w:val="21"/>
              </w:rPr>
            </w:pPr>
            <w:r>
              <w:rPr>
                <w:color w:val="000000"/>
                <w:szCs w:val="21"/>
              </w:rPr>
              <w:t>GE Discovery Elite</w:t>
            </w:r>
          </w:p>
        </w:tc>
        <w:tc>
          <w:tcPr>
            <w:tcW w:w="0" w:type="auto"/>
            <w:vAlign w:val="center"/>
          </w:tcPr>
          <w:p w14:paraId="13D3D3C9">
            <w:pPr>
              <w:widowControl/>
              <w:jc w:val="center"/>
              <w:rPr>
                <w:color w:val="000000"/>
                <w:szCs w:val="21"/>
              </w:rPr>
            </w:pPr>
            <w:r>
              <w:rPr>
                <w:color w:val="000000"/>
                <w:szCs w:val="21"/>
              </w:rPr>
              <w:t>13664PT8</w:t>
            </w:r>
          </w:p>
        </w:tc>
        <w:tc>
          <w:tcPr>
            <w:tcW w:w="0" w:type="auto"/>
            <w:vAlign w:val="center"/>
          </w:tcPr>
          <w:p w14:paraId="4070870F">
            <w:pPr>
              <w:jc w:val="center"/>
              <w:rPr>
                <w:szCs w:val="21"/>
              </w:rPr>
            </w:pPr>
            <w:r>
              <w:rPr>
                <w:szCs w:val="21"/>
              </w:rPr>
              <w:t>管电压120kV</w:t>
            </w:r>
          </w:p>
          <w:p w14:paraId="37FA22E7">
            <w:pPr>
              <w:widowControl/>
              <w:jc w:val="center"/>
              <w:rPr>
                <w:color w:val="000000"/>
                <w:szCs w:val="21"/>
              </w:rPr>
            </w:pPr>
            <w:r>
              <w:rPr>
                <w:szCs w:val="21"/>
              </w:rPr>
              <w:t>管电流600mA</w:t>
            </w:r>
          </w:p>
        </w:tc>
        <w:tc>
          <w:tcPr>
            <w:tcW w:w="0" w:type="auto"/>
            <w:vAlign w:val="center"/>
          </w:tcPr>
          <w:p w14:paraId="1219CEFD">
            <w:pPr>
              <w:widowControl/>
              <w:jc w:val="center"/>
              <w:rPr>
                <w:color w:val="000000"/>
                <w:szCs w:val="21"/>
              </w:rPr>
            </w:pPr>
            <w:r>
              <w:rPr>
                <w:color w:val="000000"/>
                <w:szCs w:val="21"/>
              </w:rPr>
              <w:t>GE</w:t>
            </w:r>
          </w:p>
        </w:tc>
      </w:tr>
      <w:tr w14:paraId="0303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75872A3D">
            <w:pPr>
              <w:widowControl/>
              <w:jc w:val="center"/>
              <w:textAlignment w:val="center"/>
              <w:rPr>
                <w:b/>
                <w:color w:val="000000"/>
                <w:szCs w:val="21"/>
              </w:rPr>
            </w:pPr>
            <w:r>
              <w:rPr>
                <w:b/>
                <w:color w:val="000000"/>
                <w:szCs w:val="21"/>
              </w:rPr>
              <w:t>28</w:t>
            </w:r>
          </w:p>
        </w:tc>
        <w:tc>
          <w:tcPr>
            <w:tcW w:w="0" w:type="auto"/>
            <w:vMerge w:val="continue"/>
            <w:vAlign w:val="center"/>
          </w:tcPr>
          <w:p w14:paraId="5D6C4CE3">
            <w:pPr>
              <w:widowControl/>
              <w:jc w:val="center"/>
              <w:textAlignment w:val="center"/>
              <w:rPr>
                <w:color w:val="000000"/>
                <w:szCs w:val="21"/>
              </w:rPr>
            </w:pPr>
          </w:p>
        </w:tc>
        <w:tc>
          <w:tcPr>
            <w:tcW w:w="0" w:type="auto"/>
          </w:tcPr>
          <w:p w14:paraId="1ECE926F">
            <w:pPr>
              <w:widowControl/>
              <w:jc w:val="center"/>
              <w:textAlignment w:val="center"/>
              <w:rPr>
                <w:color w:val="000000"/>
                <w:szCs w:val="21"/>
              </w:rPr>
            </w:pPr>
            <w:r>
              <w:rPr>
                <w:color w:val="000000"/>
                <w:szCs w:val="21"/>
              </w:rPr>
              <w:t>医用X射线计算机断层扫描（CT）装置</w:t>
            </w:r>
          </w:p>
        </w:tc>
        <w:tc>
          <w:tcPr>
            <w:tcW w:w="0" w:type="auto"/>
          </w:tcPr>
          <w:p w14:paraId="75D46A5D">
            <w:pPr>
              <w:widowControl/>
              <w:jc w:val="center"/>
              <w:textAlignment w:val="center"/>
              <w:rPr>
                <w:color w:val="000000"/>
                <w:szCs w:val="21"/>
              </w:rPr>
            </w:pPr>
            <w:r>
              <w:rPr>
                <w:color w:val="000000"/>
                <w:szCs w:val="21"/>
              </w:rPr>
              <w:t>III类</w:t>
            </w:r>
          </w:p>
        </w:tc>
        <w:tc>
          <w:tcPr>
            <w:tcW w:w="0" w:type="auto"/>
            <w:vAlign w:val="center"/>
          </w:tcPr>
          <w:p w14:paraId="71015AE8">
            <w:pPr>
              <w:widowControl/>
              <w:jc w:val="center"/>
              <w:textAlignment w:val="center"/>
              <w:rPr>
                <w:color w:val="000000"/>
                <w:kern w:val="0"/>
                <w:szCs w:val="21"/>
                <w:lang w:bidi="ar"/>
              </w:rPr>
            </w:pPr>
            <w:r>
              <w:rPr>
                <w:szCs w:val="21"/>
              </w:rPr>
              <w:t>使用</w:t>
            </w:r>
          </w:p>
        </w:tc>
        <w:tc>
          <w:tcPr>
            <w:tcW w:w="0" w:type="auto"/>
            <w:vAlign w:val="center"/>
          </w:tcPr>
          <w:p w14:paraId="5C09707D">
            <w:pPr>
              <w:jc w:val="center"/>
              <w:rPr>
                <w:szCs w:val="21"/>
              </w:rPr>
            </w:pPr>
            <w:r>
              <w:rPr>
                <w:szCs w:val="21"/>
              </w:rPr>
              <w:t>1</w:t>
            </w:r>
          </w:p>
        </w:tc>
        <w:tc>
          <w:tcPr>
            <w:tcW w:w="0" w:type="auto"/>
            <w:vAlign w:val="center"/>
          </w:tcPr>
          <w:p w14:paraId="712D4F23">
            <w:pPr>
              <w:widowControl/>
              <w:jc w:val="center"/>
              <w:textAlignment w:val="center"/>
              <w:rPr>
                <w:color w:val="000000"/>
                <w:szCs w:val="21"/>
              </w:rPr>
            </w:pPr>
            <w:r>
              <w:rPr>
                <w:color w:val="000000"/>
                <w:szCs w:val="21"/>
              </w:rPr>
              <w:t>SPECT/CT机</w:t>
            </w:r>
          </w:p>
        </w:tc>
        <w:tc>
          <w:tcPr>
            <w:tcW w:w="0" w:type="auto"/>
            <w:vAlign w:val="center"/>
          </w:tcPr>
          <w:p w14:paraId="7241E8D9">
            <w:pPr>
              <w:widowControl/>
              <w:jc w:val="center"/>
              <w:textAlignment w:val="center"/>
              <w:rPr>
                <w:color w:val="000000"/>
                <w:szCs w:val="21"/>
              </w:rPr>
            </w:pPr>
            <w:r>
              <w:rPr>
                <w:color w:val="000000"/>
                <w:szCs w:val="21"/>
              </w:rPr>
              <w:t>西门子Symbia T6</w:t>
            </w:r>
          </w:p>
        </w:tc>
        <w:tc>
          <w:tcPr>
            <w:tcW w:w="0" w:type="auto"/>
            <w:vAlign w:val="center"/>
          </w:tcPr>
          <w:p w14:paraId="658EC5D7">
            <w:pPr>
              <w:widowControl/>
              <w:jc w:val="center"/>
              <w:textAlignment w:val="center"/>
              <w:rPr>
                <w:color w:val="000000"/>
                <w:kern w:val="0"/>
                <w:szCs w:val="21"/>
                <w:lang w:bidi="ar"/>
              </w:rPr>
            </w:pPr>
            <w:r>
              <w:rPr>
                <w:color w:val="000000"/>
                <w:kern w:val="0"/>
                <w:szCs w:val="21"/>
                <w:lang w:bidi="ar"/>
              </w:rPr>
              <w:t>2025</w:t>
            </w:r>
          </w:p>
        </w:tc>
        <w:tc>
          <w:tcPr>
            <w:tcW w:w="0" w:type="auto"/>
            <w:vAlign w:val="center"/>
          </w:tcPr>
          <w:p w14:paraId="3148B06F">
            <w:pPr>
              <w:jc w:val="center"/>
              <w:rPr>
                <w:szCs w:val="21"/>
              </w:rPr>
            </w:pPr>
            <w:r>
              <w:rPr>
                <w:szCs w:val="21"/>
              </w:rPr>
              <w:t>管电压130kV</w:t>
            </w:r>
          </w:p>
          <w:p w14:paraId="4CA5584F">
            <w:pPr>
              <w:widowControl/>
              <w:jc w:val="center"/>
              <w:textAlignment w:val="center"/>
              <w:rPr>
                <w:color w:val="000000"/>
                <w:kern w:val="0"/>
                <w:szCs w:val="21"/>
                <w:lang w:bidi="ar"/>
              </w:rPr>
            </w:pPr>
            <w:r>
              <w:rPr>
                <w:szCs w:val="21"/>
              </w:rPr>
              <w:t>管电流345mA</w:t>
            </w:r>
          </w:p>
        </w:tc>
        <w:tc>
          <w:tcPr>
            <w:tcW w:w="0" w:type="auto"/>
            <w:vAlign w:val="center"/>
          </w:tcPr>
          <w:p w14:paraId="7E399B33">
            <w:pPr>
              <w:widowControl/>
              <w:jc w:val="center"/>
              <w:textAlignment w:val="center"/>
              <w:rPr>
                <w:color w:val="000000"/>
                <w:kern w:val="0"/>
                <w:szCs w:val="21"/>
                <w:lang w:bidi="ar"/>
              </w:rPr>
            </w:pPr>
            <w:r>
              <w:rPr>
                <w:color w:val="000000"/>
                <w:kern w:val="0"/>
                <w:szCs w:val="21"/>
                <w:lang w:bidi="ar"/>
              </w:rPr>
              <w:t>西门子</w:t>
            </w:r>
          </w:p>
        </w:tc>
      </w:tr>
      <w:tr w14:paraId="7679B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468822B0">
            <w:pPr>
              <w:widowControl/>
              <w:jc w:val="center"/>
              <w:textAlignment w:val="center"/>
              <w:rPr>
                <w:b/>
                <w:color w:val="000000"/>
                <w:szCs w:val="21"/>
              </w:rPr>
            </w:pPr>
            <w:r>
              <w:rPr>
                <w:b/>
                <w:color w:val="000000"/>
                <w:szCs w:val="21"/>
              </w:rPr>
              <w:t>29</w:t>
            </w:r>
          </w:p>
        </w:tc>
        <w:tc>
          <w:tcPr>
            <w:tcW w:w="0" w:type="auto"/>
            <w:vAlign w:val="center"/>
          </w:tcPr>
          <w:p w14:paraId="6FA79234">
            <w:pPr>
              <w:widowControl/>
              <w:jc w:val="center"/>
              <w:textAlignment w:val="center"/>
              <w:rPr>
                <w:color w:val="000000"/>
                <w:szCs w:val="21"/>
              </w:rPr>
            </w:pPr>
            <w:r>
              <w:rPr>
                <w:color w:val="000000"/>
                <w:szCs w:val="21"/>
              </w:rPr>
              <w:t>本院区3号楼一、二、三楼</w:t>
            </w:r>
          </w:p>
        </w:tc>
        <w:tc>
          <w:tcPr>
            <w:tcW w:w="0" w:type="auto"/>
          </w:tcPr>
          <w:p w14:paraId="0AA0C4B0">
            <w:pPr>
              <w:widowControl/>
              <w:jc w:val="center"/>
              <w:textAlignment w:val="center"/>
              <w:rPr>
                <w:color w:val="000000"/>
                <w:szCs w:val="21"/>
              </w:rPr>
            </w:pPr>
            <w:r>
              <w:rPr>
                <w:color w:val="000000"/>
                <w:szCs w:val="21"/>
              </w:rPr>
              <w:t>医用X射线计算机断层扫描（CT）装置</w:t>
            </w:r>
          </w:p>
        </w:tc>
        <w:tc>
          <w:tcPr>
            <w:tcW w:w="0" w:type="auto"/>
          </w:tcPr>
          <w:p w14:paraId="54A647B6">
            <w:pPr>
              <w:jc w:val="center"/>
              <w:rPr>
                <w:szCs w:val="21"/>
              </w:rPr>
            </w:pPr>
            <w:r>
              <w:rPr>
                <w:color w:val="000000"/>
                <w:szCs w:val="21"/>
              </w:rPr>
              <w:t>III类</w:t>
            </w:r>
          </w:p>
        </w:tc>
        <w:tc>
          <w:tcPr>
            <w:tcW w:w="0" w:type="auto"/>
            <w:vAlign w:val="center"/>
          </w:tcPr>
          <w:p w14:paraId="0A19FEAA">
            <w:pPr>
              <w:widowControl/>
              <w:jc w:val="center"/>
              <w:textAlignment w:val="center"/>
              <w:rPr>
                <w:color w:val="000000"/>
                <w:kern w:val="0"/>
                <w:szCs w:val="21"/>
                <w:lang w:bidi="ar"/>
              </w:rPr>
            </w:pPr>
            <w:r>
              <w:rPr>
                <w:szCs w:val="21"/>
              </w:rPr>
              <w:t>使用</w:t>
            </w:r>
          </w:p>
        </w:tc>
        <w:tc>
          <w:tcPr>
            <w:tcW w:w="0" w:type="auto"/>
            <w:vAlign w:val="center"/>
          </w:tcPr>
          <w:p w14:paraId="224B88AA">
            <w:pPr>
              <w:widowControl/>
              <w:jc w:val="center"/>
              <w:textAlignment w:val="center"/>
              <w:rPr>
                <w:color w:val="000000"/>
                <w:kern w:val="0"/>
                <w:szCs w:val="21"/>
                <w:lang w:bidi="ar"/>
              </w:rPr>
            </w:pPr>
            <w:r>
              <w:rPr>
                <w:szCs w:val="21"/>
              </w:rPr>
              <w:t>1</w:t>
            </w:r>
          </w:p>
        </w:tc>
        <w:tc>
          <w:tcPr>
            <w:tcW w:w="0" w:type="auto"/>
            <w:vAlign w:val="center"/>
          </w:tcPr>
          <w:p w14:paraId="46C6B17B">
            <w:pPr>
              <w:jc w:val="center"/>
              <w:rPr>
                <w:szCs w:val="21"/>
              </w:rPr>
            </w:pPr>
            <w:r>
              <w:rPr>
                <w:szCs w:val="21"/>
              </w:rPr>
              <w:t>双源CT（超高端CT）</w:t>
            </w:r>
          </w:p>
        </w:tc>
        <w:tc>
          <w:tcPr>
            <w:tcW w:w="0" w:type="auto"/>
            <w:vAlign w:val="center"/>
          </w:tcPr>
          <w:p w14:paraId="4F939FB6">
            <w:pPr>
              <w:jc w:val="center"/>
              <w:rPr>
                <w:szCs w:val="21"/>
              </w:rPr>
            </w:pPr>
            <w:r>
              <w:rPr>
                <w:szCs w:val="21"/>
              </w:rPr>
              <w:t>SOMATOM Drive</w:t>
            </w:r>
          </w:p>
        </w:tc>
        <w:tc>
          <w:tcPr>
            <w:tcW w:w="0" w:type="auto"/>
            <w:vAlign w:val="center"/>
          </w:tcPr>
          <w:p w14:paraId="6D62F5C3">
            <w:pPr>
              <w:jc w:val="center"/>
              <w:rPr>
                <w:szCs w:val="21"/>
              </w:rPr>
            </w:pPr>
            <w:r>
              <w:rPr>
                <w:szCs w:val="21"/>
              </w:rPr>
              <w:t>166006</w:t>
            </w:r>
          </w:p>
        </w:tc>
        <w:tc>
          <w:tcPr>
            <w:tcW w:w="0" w:type="auto"/>
            <w:vAlign w:val="center"/>
          </w:tcPr>
          <w:p w14:paraId="087B2238">
            <w:pPr>
              <w:jc w:val="center"/>
              <w:rPr>
                <w:szCs w:val="21"/>
              </w:rPr>
            </w:pPr>
            <w:r>
              <w:rPr>
                <w:szCs w:val="21"/>
              </w:rPr>
              <w:t>管电压140kV</w:t>
            </w:r>
          </w:p>
          <w:p w14:paraId="76DC72DE">
            <w:pPr>
              <w:jc w:val="center"/>
              <w:rPr>
                <w:szCs w:val="21"/>
              </w:rPr>
            </w:pPr>
            <w:r>
              <w:rPr>
                <w:szCs w:val="21"/>
              </w:rPr>
              <w:t>管电流800mA</w:t>
            </w:r>
          </w:p>
        </w:tc>
        <w:tc>
          <w:tcPr>
            <w:tcW w:w="0" w:type="auto"/>
            <w:vAlign w:val="center"/>
          </w:tcPr>
          <w:p w14:paraId="022F9528">
            <w:pPr>
              <w:jc w:val="center"/>
              <w:rPr>
                <w:szCs w:val="21"/>
              </w:rPr>
            </w:pPr>
            <w:r>
              <w:rPr>
                <w:szCs w:val="21"/>
              </w:rPr>
              <w:t>西门子</w:t>
            </w:r>
          </w:p>
        </w:tc>
      </w:tr>
      <w:tr w14:paraId="70E5C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37A9E78B">
            <w:pPr>
              <w:widowControl/>
              <w:jc w:val="center"/>
              <w:textAlignment w:val="center"/>
              <w:rPr>
                <w:b/>
                <w:color w:val="000000"/>
                <w:szCs w:val="21"/>
              </w:rPr>
            </w:pPr>
            <w:r>
              <w:rPr>
                <w:b/>
                <w:color w:val="000000"/>
                <w:szCs w:val="21"/>
              </w:rPr>
              <w:t>30</w:t>
            </w:r>
          </w:p>
        </w:tc>
        <w:tc>
          <w:tcPr>
            <w:tcW w:w="0" w:type="auto"/>
            <w:vMerge w:val="restart"/>
            <w:vAlign w:val="center"/>
          </w:tcPr>
          <w:p w14:paraId="0C249764">
            <w:pPr>
              <w:widowControl/>
              <w:jc w:val="center"/>
              <w:textAlignment w:val="center"/>
              <w:rPr>
                <w:color w:val="000000"/>
                <w:kern w:val="0"/>
                <w:szCs w:val="21"/>
                <w:lang w:bidi="ar"/>
              </w:rPr>
            </w:pPr>
            <w:r>
              <w:rPr>
                <w:color w:val="000000"/>
                <w:kern w:val="0"/>
                <w:szCs w:val="21"/>
                <w:lang w:bidi="ar"/>
              </w:rPr>
              <w:t>本院区7号楼七楼</w:t>
            </w:r>
          </w:p>
        </w:tc>
        <w:tc>
          <w:tcPr>
            <w:tcW w:w="0" w:type="auto"/>
          </w:tcPr>
          <w:p w14:paraId="72D08D46">
            <w:pPr>
              <w:widowControl/>
              <w:jc w:val="center"/>
              <w:textAlignment w:val="center"/>
              <w:rPr>
                <w:color w:val="000000"/>
                <w:szCs w:val="21"/>
              </w:rPr>
            </w:pPr>
            <w:r>
              <w:rPr>
                <w:color w:val="000000"/>
                <w:szCs w:val="21"/>
              </w:rPr>
              <w:t>医用诊断X射线装置</w:t>
            </w:r>
          </w:p>
        </w:tc>
        <w:tc>
          <w:tcPr>
            <w:tcW w:w="0" w:type="auto"/>
          </w:tcPr>
          <w:p w14:paraId="45C8AE3D">
            <w:pPr>
              <w:jc w:val="center"/>
              <w:rPr>
                <w:szCs w:val="21"/>
              </w:rPr>
            </w:pPr>
            <w:r>
              <w:rPr>
                <w:color w:val="000000"/>
                <w:szCs w:val="21"/>
              </w:rPr>
              <w:t>III类</w:t>
            </w:r>
          </w:p>
        </w:tc>
        <w:tc>
          <w:tcPr>
            <w:tcW w:w="0" w:type="auto"/>
            <w:vAlign w:val="center"/>
          </w:tcPr>
          <w:p w14:paraId="3ED14515">
            <w:pPr>
              <w:widowControl/>
              <w:jc w:val="center"/>
              <w:textAlignment w:val="center"/>
              <w:rPr>
                <w:color w:val="000000"/>
                <w:kern w:val="0"/>
                <w:szCs w:val="21"/>
                <w:lang w:bidi="ar"/>
              </w:rPr>
            </w:pPr>
            <w:r>
              <w:rPr>
                <w:szCs w:val="21"/>
              </w:rPr>
              <w:t>使用</w:t>
            </w:r>
          </w:p>
        </w:tc>
        <w:tc>
          <w:tcPr>
            <w:tcW w:w="0" w:type="auto"/>
            <w:vAlign w:val="center"/>
          </w:tcPr>
          <w:p w14:paraId="7D54182F">
            <w:pPr>
              <w:widowControl/>
              <w:jc w:val="center"/>
              <w:textAlignment w:val="center"/>
              <w:rPr>
                <w:color w:val="000000"/>
                <w:kern w:val="0"/>
                <w:szCs w:val="21"/>
                <w:lang w:bidi="ar"/>
              </w:rPr>
            </w:pPr>
            <w:r>
              <w:rPr>
                <w:szCs w:val="21"/>
              </w:rPr>
              <w:t>1</w:t>
            </w:r>
          </w:p>
        </w:tc>
        <w:tc>
          <w:tcPr>
            <w:tcW w:w="0" w:type="auto"/>
            <w:vAlign w:val="center"/>
          </w:tcPr>
          <w:p w14:paraId="1E30AFF3">
            <w:pPr>
              <w:jc w:val="center"/>
              <w:rPr>
                <w:color w:val="000000"/>
                <w:kern w:val="0"/>
                <w:szCs w:val="21"/>
                <w:lang w:bidi="ar"/>
              </w:rPr>
            </w:pPr>
            <w:r>
              <w:rPr>
                <w:color w:val="000000"/>
                <w:kern w:val="0"/>
                <w:szCs w:val="21"/>
                <w:lang w:bidi="ar"/>
              </w:rPr>
              <w:t>C臂机</w:t>
            </w:r>
          </w:p>
        </w:tc>
        <w:tc>
          <w:tcPr>
            <w:tcW w:w="0" w:type="auto"/>
            <w:vAlign w:val="center"/>
          </w:tcPr>
          <w:p w14:paraId="4CDAADE8">
            <w:pPr>
              <w:jc w:val="center"/>
              <w:rPr>
                <w:szCs w:val="21"/>
              </w:rPr>
            </w:pPr>
            <w:r>
              <w:rPr>
                <w:szCs w:val="21"/>
              </w:rPr>
              <w:t>Ziehm Vision RFD 3D</w:t>
            </w:r>
          </w:p>
        </w:tc>
        <w:tc>
          <w:tcPr>
            <w:tcW w:w="0" w:type="auto"/>
            <w:vAlign w:val="center"/>
          </w:tcPr>
          <w:p w14:paraId="7C4E72B2">
            <w:pPr>
              <w:jc w:val="center"/>
              <w:rPr>
                <w:szCs w:val="21"/>
              </w:rPr>
            </w:pPr>
            <w:r>
              <w:rPr>
                <w:szCs w:val="21"/>
              </w:rPr>
              <w:t>22298</w:t>
            </w:r>
          </w:p>
        </w:tc>
        <w:tc>
          <w:tcPr>
            <w:tcW w:w="0" w:type="auto"/>
            <w:vAlign w:val="center"/>
          </w:tcPr>
          <w:p w14:paraId="68931990">
            <w:pPr>
              <w:jc w:val="center"/>
              <w:rPr>
                <w:szCs w:val="21"/>
              </w:rPr>
            </w:pPr>
            <w:r>
              <w:rPr>
                <w:szCs w:val="21"/>
              </w:rPr>
              <w:t>管电压120kV</w:t>
            </w:r>
          </w:p>
          <w:p w14:paraId="6E488FBD">
            <w:pPr>
              <w:jc w:val="center"/>
              <w:rPr>
                <w:szCs w:val="21"/>
              </w:rPr>
            </w:pPr>
            <w:r>
              <w:rPr>
                <w:szCs w:val="21"/>
              </w:rPr>
              <w:t>管电流250mA</w:t>
            </w:r>
          </w:p>
        </w:tc>
        <w:tc>
          <w:tcPr>
            <w:tcW w:w="0" w:type="auto"/>
            <w:vAlign w:val="center"/>
          </w:tcPr>
          <w:p w14:paraId="70BF2B1C">
            <w:pPr>
              <w:jc w:val="center"/>
              <w:rPr>
                <w:szCs w:val="21"/>
              </w:rPr>
            </w:pPr>
            <w:r>
              <w:rPr>
                <w:szCs w:val="21"/>
              </w:rPr>
              <w:t>奇目</w:t>
            </w:r>
          </w:p>
        </w:tc>
      </w:tr>
      <w:tr w14:paraId="1729F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3B4DA53E">
            <w:pPr>
              <w:widowControl/>
              <w:jc w:val="center"/>
              <w:textAlignment w:val="center"/>
              <w:rPr>
                <w:b/>
                <w:color w:val="000000"/>
                <w:szCs w:val="21"/>
              </w:rPr>
            </w:pPr>
            <w:r>
              <w:rPr>
                <w:b/>
                <w:color w:val="000000"/>
                <w:kern w:val="0"/>
                <w:szCs w:val="21"/>
                <w:lang w:bidi="ar"/>
              </w:rPr>
              <w:t>31</w:t>
            </w:r>
          </w:p>
        </w:tc>
        <w:tc>
          <w:tcPr>
            <w:tcW w:w="0" w:type="auto"/>
            <w:vMerge w:val="continue"/>
            <w:vAlign w:val="center"/>
          </w:tcPr>
          <w:p w14:paraId="2CC91C42">
            <w:pPr>
              <w:widowControl/>
              <w:jc w:val="center"/>
              <w:textAlignment w:val="center"/>
              <w:rPr>
                <w:color w:val="000000"/>
                <w:kern w:val="0"/>
                <w:szCs w:val="21"/>
                <w:lang w:bidi="ar"/>
              </w:rPr>
            </w:pPr>
          </w:p>
        </w:tc>
        <w:tc>
          <w:tcPr>
            <w:tcW w:w="0" w:type="auto"/>
          </w:tcPr>
          <w:p w14:paraId="3A4DD68F">
            <w:pPr>
              <w:widowControl/>
              <w:jc w:val="center"/>
              <w:textAlignment w:val="center"/>
              <w:rPr>
                <w:color w:val="000000"/>
                <w:szCs w:val="21"/>
              </w:rPr>
            </w:pPr>
            <w:r>
              <w:rPr>
                <w:color w:val="000000"/>
                <w:szCs w:val="21"/>
              </w:rPr>
              <w:t>医用诊断X射线装置</w:t>
            </w:r>
          </w:p>
        </w:tc>
        <w:tc>
          <w:tcPr>
            <w:tcW w:w="0" w:type="auto"/>
          </w:tcPr>
          <w:p w14:paraId="572D09D5">
            <w:pPr>
              <w:jc w:val="center"/>
              <w:rPr>
                <w:color w:val="000000"/>
                <w:kern w:val="0"/>
                <w:szCs w:val="21"/>
                <w:lang w:bidi="ar"/>
              </w:rPr>
            </w:pPr>
            <w:r>
              <w:rPr>
                <w:color w:val="000000"/>
                <w:szCs w:val="21"/>
              </w:rPr>
              <w:t>III类</w:t>
            </w:r>
          </w:p>
        </w:tc>
        <w:tc>
          <w:tcPr>
            <w:tcW w:w="0" w:type="auto"/>
            <w:vAlign w:val="center"/>
          </w:tcPr>
          <w:p w14:paraId="75DF2111">
            <w:pPr>
              <w:widowControl/>
              <w:jc w:val="center"/>
              <w:textAlignment w:val="center"/>
              <w:rPr>
                <w:color w:val="000000"/>
                <w:kern w:val="0"/>
                <w:szCs w:val="21"/>
                <w:lang w:bidi="ar"/>
              </w:rPr>
            </w:pPr>
            <w:r>
              <w:rPr>
                <w:szCs w:val="21"/>
              </w:rPr>
              <w:t>使用</w:t>
            </w:r>
          </w:p>
        </w:tc>
        <w:tc>
          <w:tcPr>
            <w:tcW w:w="0" w:type="auto"/>
            <w:vAlign w:val="center"/>
          </w:tcPr>
          <w:p w14:paraId="0C049093">
            <w:pPr>
              <w:jc w:val="center"/>
              <w:rPr>
                <w:szCs w:val="21"/>
              </w:rPr>
            </w:pPr>
            <w:r>
              <w:rPr>
                <w:szCs w:val="21"/>
              </w:rPr>
              <w:t>1</w:t>
            </w:r>
          </w:p>
        </w:tc>
        <w:tc>
          <w:tcPr>
            <w:tcW w:w="0" w:type="auto"/>
            <w:vAlign w:val="center"/>
          </w:tcPr>
          <w:p w14:paraId="262B1392">
            <w:pPr>
              <w:widowControl/>
              <w:jc w:val="center"/>
              <w:textAlignment w:val="center"/>
              <w:rPr>
                <w:color w:val="000000"/>
                <w:szCs w:val="21"/>
              </w:rPr>
            </w:pPr>
            <w:r>
              <w:rPr>
                <w:color w:val="000000"/>
                <w:szCs w:val="21"/>
              </w:rPr>
              <w:t>移动式C臂机</w:t>
            </w:r>
          </w:p>
        </w:tc>
        <w:tc>
          <w:tcPr>
            <w:tcW w:w="0" w:type="auto"/>
            <w:vAlign w:val="center"/>
          </w:tcPr>
          <w:p w14:paraId="5D9A9C68">
            <w:pPr>
              <w:jc w:val="center"/>
              <w:rPr>
                <w:color w:val="000000"/>
                <w:szCs w:val="21"/>
              </w:rPr>
            </w:pPr>
            <w:r>
              <w:rPr>
                <w:color w:val="000000"/>
                <w:szCs w:val="21"/>
              </w:rPr>
              <w:t>BV Endura</w:t>
            </w:r>
          </w:p>
        </w:tc>
        <w:tc>
          <w:tcPr>
            <w:tcW w:w="0" w:type="auto"/>
            <w:vAlign w:val="center"/>
          </w:tcPr>
          <w:p w14:paraId="0F6F2FDB">
            <w:pPr>
              <w:jc w:val="center"/>
              <w:rPr>
                <w:color w:val="000000"/>
                <w:szCs w:val="21"/>
              </w:rPr>
            </w:pPr>
            <w:r>
              <w:rPr>
                <w:color w:val="000000"/>
                <w:szCs w:val="21"/>
              </w:rPr>
              <w:t>6057</w:t>
            </w:r>
          </w:p>
        </w:tc>
        <w:tc>
          <w:tcPr>
            <w:tcW w:w="0" w:type="auto"/>
            <w:vAlign w:val="center"/>
          </w:tcPr>
          <w:p w14:paraId="378B9184">
            <w:pPr>
              <w:jc w:val="center"/>
              <w:rPr>
                <w:szCs w:val="21"/>
              </w:rPr>
            </w:pPr>
            <w:r>
              <w:rPr>
                <w:szCs w:val="21"/>
              </w:rPr>
              <w:t>管电压110kV</w:t>
            </w:r>
          </w:p>
          <w:p w14:paraId="005A4E32">
            <w:pPr>
              <w:jc w:val="center"/>
              <w:rPr>
                <w:color w:val="000000"/>
                <w:szCs w:val="21"/>
              </w:rPr>
            </w:pPr>
            <w:r>
              <w:rPr>
                <w:szCs w:val="21"/>
              </w:rPr>
              <w:t>管电流30mA</w:t>
            </w:r>
          </w:p>
        </w:tc>
        <w:tc>
          <w:tcPr>
            <w:tcW w:w="0" w:type="auto"/>
            <w:vAlign w:val="center"/>
          </w:tcPr>
          <w:p w14:paraId="23769474">
            <w:pPr>
              <w:jc w:val="center"/>
              <w:rPr>
                <w:color w:val="000000"/>
                <w:szCs w:val="21"/>
              </w:rPr>
            </w:pPr>
            <w:r>
              <w:rPr>
                <w:color w:val="000000"/>
                <w:szCs w:val="21"/>
              </w:rPr>
              <w:t>飞利浦</w:t>
            </w:r>
          </w:p>
        </w:tc>
      </w:tr>
      <w:tr w14:paraId="25A9C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406DEA54">
            <w:pPr>
              <w:widowControl/>
              <w:jc w:val="center"/>
              <w:textAlignment w:val="center"/>
              <w:rPr>
                <w:b/>
                <w:color w:val="000000"/>
                <w:szCs w:val="21"/>
              </w:rPr>
            </w:pPr>
            <w:r>
              <w:rPr>
                <w:b/>
                <w:color w:val="000000"/>
                <w:kern w:val="0"/>
                <w:szCs w:val="21"/>
                <w:lang w:bidi="ar"/>
              </w:rPr>
              <w:t>32</w:t>
            </w:r>
          </w:p>
        </w:tc>
        <w:tc>
          <w:tcPr>
            <w:tcW w:w="0" w:type="auto"/>
            <w:vMerge w:val="continue"/>
            <w:vAlign w:val="center"/>
          </w:tcPr>
          <w:p w14:paraId="53C37BA5">
            <w:pPr>
              <w:widowControl/>
              <w:jc w:val="center"/>
              <w:textAlignment w:val="center"/>
              <w:rPr>
                <w:color w:val="000000"/>
                <w:kern w:val="0"/>
                <w:szCs w:val="21"/>
                <w:lang w:bidi="ar"/>
              </w:rPr>
            </w:pPr>
          </w:p>
        </w:tc>
        <w:tc>
          <w:tcPr>
            <w:tcW w:w="0" w:type="auto"/>
          </w:tcPr>
          <w:p w14:paraId="0D6B4EB3">
            <w:pPr>
              <w:widowControl/>
              <w:jc w:val="center"/>
              <w:textAlignment w:val="center"/>
              <w:rPr>
                <w:color w:val="000000"/>
                <w:szCs w:val="21"/>
              </w:rPr>
            </w:pPr>
            <w:r>
              <w:rPr>
                <w:color w:val="000000"/>
                <w:szCs w:val="21"/>
              </w:rPr>
              <w:t>医用诊断X射线装置</w:t>
            </w:r>
          </w:p>
        </w:tc>
        <w:tc>
          <w:tcPr>
            <w:tcW w:w="0" w:type="auto"/>
          </w:tcPr>
          <w:p w14:paraId="68B6CFC3">
            <w:pPr>
              <w:jc w:val="center"/>
              <w:rPr>
                <w:szCs w:val="21"/>
              </w:rPr>
            </w:pPr>
            <w:r>
              <w:rPr>
                <w:color w:val="000000"/>
                <w:szCs w:val="21"/>
              </w:rPr>
              <w:t>III类</w:t>
            </w:r>
          </w:p>
        </w:tc>
        <w:tc>
          <w:tcPr>
            <w:tcW w:w="0" w:type="auto"/>
            <w:vAlign w:val="center"/>
          </w:tcPr>
          <w:p w14:paraId="484D6885">
            <w:pPr>
              <w:widowControl/>
              <w:jc w:val="center"/>
              <w:textAlignment w:val="center"/>
              <w:rPr>
                <w:color w:val="000000"/>
                <w:kern w:val="0"/>
                <w:szCs w:val="21"/>
                <w:lang w:bidi="ar"/>
              </w:rPr>
            </w:pPr>
            <w:r>
              <w:rPr>
                <w:szCs w:val="21"/>
              </w:rPr>
              <w:t>使用</w:t>
            </w:r>
          </w:p>
        </w:tc>
        <w:tc>
          <w:tcPr>
            <w:tcW w:w="0" w:type="auto"/>
            <w:vAlign w:val="center"/>
          </w:tcPr>
          <w:p w14:paraId="5CAF99BF">
            <w:pPr>
              <w:widowControl/>
              <w:jc w:val="center"/>
              <w:textAlignment w:val="center"/>
              <w:rPr>
                <w:color w:val="000000"/>
                <w:kern w:val="0"/>
                <w:szCs w:val="21"/>
                <w:lang w:bidi="ar"/>
              </w:rPr>
            </w:pPr>
            <w:r>
              <w:rPr>
                <w:szCs w:val="21"/>
              </w:rPr>
              <w:t>1</w:t>
            </w:r>
          </w:p>
        </w:tc>
        <w:tc>
          <w:tcPr>
            <w:tcW w:w="0" w:type="auto"/>
            <w:vAlign w:val="center"/>
          </w:tcPr>
          <w:p w14:paraId="57AA0FA6">
            <w:pPr>
              <w:jc w:val="center"/>
              <w:rPr>
                <w:color w:val="000000"/>
                <w:kern w:val="0"/>
                <w:szCs w:val="21"/>
                <w:lang w:bidi="ar"/>
              </w:rPr>
            </w:pPr>
            <w:r>
              <w:rPr>
                <w:color w:val="000000"/>
                <w:kern w:val="0"/>
                <w:szCs w:val="21"/>
                <w:lang w:bidi="ar"/>
              </w:rPr>
              <w:t>O臂机</w:t>
            </w:r>
          </w:p>
        </w:tc>
        <w:tc>
          <w:tcPr>
            <w:tcW w:w="0" w:type="auto"/>
            <w:vAlign w:val="center"/>
          </w:tcPr>
          <w:p w14:paraId="32273649">
            <w:pPr>
              <w:jc w:val="center"/>
              <w:rPr>
                <w:szCs w:val="21"/>
              </w:rPr>
            </w:pPr>
            <w:r>
              <w:rPr>
                <w:szCs w:val="21"/>
              </w:rPr>
              <w:t>O2</w:t>
            </w:r>
          </w:p>
        </w:tc>
        <w:tc>
          <w:tcPr>
            <w:tcW w:w="0" w:type="auto"/>
            <w:vAlign w:val="center"/>
          </w:tcPr>
          <w:p w14:paraId="255A6656">
            <w:pPr>
              <w:jc w:val="center"/>
              <w:rPr>
                <w:szCs w:val="21"/>
              </w:rPr>
            </w:pPr>
            <w:r>
              <w:rPr>
                <w:szCs w:val="21"/>
              </w:rPr>
              <w:t>C2228</w:t>
            </w:r>
          </w:p>
        </w:tc>
        <w:tc>
          <w:tcPr>
            <w:tcW w:w="0" w:type="auto"/>
            <w:vAlign w:val="center"/>
          </w:tcPr>
          <w:p w14:paraId="1814C697">
            <w:pPr>
              <w:jc w:val="center"/>
              <w:rPr>
                <w:szCs w:val="21"/>
              </w:rPr>
            </w:pPr>
            <w:r>
              <w:rPr>
                <w:szCs w:val="21"/>
              </w:rPr>
              <w:t>管电压120kV</w:t>
            </w:r>
          </w:p>
          <w:p w14:paraId="70133E0F">
            <w:pPr>
              <w:jc w:val="center"/>
              <w:rPr>
                <w:szCs w:val="21"/>
              </w:rPr>
            </w:pPr>
            <w:r>
              <w:rPr>
                <w:szCs w:val="21"/>
              </w:rPr>
              <w:t>管电流100mA</w:t>
            </w:r>
          </w:p>
        </w:tc>
        <w:tc>
          <w:tcPr>
            <w:tcW w:w="0" w:type="auto"/>
            <w:vAlign w:val="center"/>
          </w:tcPr>
          <w:p w14:paraId="2D40AFEC">
            <w:pPr>
              <w:jc w:val="center"/>
              <w:rPr>
                <w:szCs w:val="21"/>
              </w:rPr>
            </w:pPr>
            <w:r>
              <w:rPr>
                <w:szCs w:val="21"/>
              </w:rPr>
              <w:t>美敦力导航</w:t>
            </w:r>
          </w:p>
        </w:tc>
      </w:tr>
      <w:tr w14:paraId="481A5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7E73F392">
            <w:pPr>
              <w:widowControl/>
              <w:jc w:val="center"/>
              <w:textAlignment w:val="center"/>
              <w:rPr>
                <w:b/>
                <w:color w:val="000000"/>
                <w:szCs w:val="21"/>
              </w:rPr>
            </w:pPr>
            <w:r>
              <w:rPr>
                <w:b/>
                <w:color w:val="000000"/>
                <w:kern w:val="0"/>
                <w:szCs w:val="21"/>
                <w:lang w:bidi="ar"/>
              </w:rPr>
              <w:t>33</w:t>
            </w:r>
          </w:p>
        </w:tc>
        <w:tc>
          <w:tcPr>
            <w:tcW w:w="0" w:type="auto"/>
            <w:vMerge w:val="continue"/>
            <w:vAlign w:val="center"/>
          </w:tcPr>
          <w:p w14:paraId="41541EF3">
            <w:pPr>
              <w:widowControl/>
              <w:jc w:val="center"/>
              <w:textAlignment w:val="center"/>
              <w:rPr>
                <w:color w:val="000000"/>
                <w:kern w:val="0"/>
                <w:szCs w:val="21"/>
                <w:lang w:bidi="ar"/>
              </w:rPr>
            </w:pPr>
          </w:p>
        </w:tc>
        <w:tc>
          <w:tcPr>
            <w:tcW w:w="0" w:type="auto"/>
          </w:tcPr>
          <w:p w14:paraId="5334344E">
            <w:pPr>
              <w:widowControl/>
              <w:jc w:val="center"/>
              <w:textAlignment w:val="center"/>
              <w:rPr>
                <w:color w:val="000000"/>
                <w:szCs w:val="21"/>
              </w:rPr>
            </w:pPr>
            <w:r>
              <w:rPr>
                <w:color w:val="000000"/>
                <w:szCs w:val="21"/>
              </w:rPr>
              <w:t>医用诊断X射线装置</w:t>
            </w:r>
          </w:p>
        </w:tc>
        <w:tc>
          <w:tcPr>
            <w:tcW w:w="0" w:type="auto"/>
          </w:tcPr>
          <w:p w14:paraId="14C780FC">
            <w:pPr>
              <w:jc w:val="center"/>
              <w:rPr>
                <w:szCs w:val="21"/>
              </w:rPr>
            </w:pPr>
            <w:r>
              <w:rPr>
                <w:color w:val="000000"/>
                <w:szCs w:val="21"/>
              </w:rPr>
              <w:t>III类</w:t>
            </w:r>
          </w:p>
        </w:tc>
        <w:tc>
          <w:tcPr>
            <w:tcW w:w="0" w:type="auto"/>
            <w:vAlign w:val="center"/>
          </w:tcPr>
          <w:p w14:paraId="44AC058F">
            <w:pPr>
              <w:widowControl/>
              <w:jc w:val="center"/>
              <w:textAlignment w:val="center"/>
              <w:rPr>
                <w:color w:val="000000"/>
                <w:kern w:val="0"/>
                <w:szCs w:val="21"/>
                <w:lang w:bidi="ar"/>
              </w:rPr>
            </w:pPr>
            <w:r>
              <w:rPr>
                <w:szCs w:val="21"/>
              </w:rPr>
              <w:t>使用</w:t>
            </w:r>
          </w:p>
        </w:tc>
        <w:tc>
          <w:tcPr>
            <w:tcW w:w="0" w:type="auto"/>
            <w:vAlign w:val="center"/>
          </w:tcPr>
          <w:p w14:paraId="165E19C4">
            <w:pPr>
              <w:jc w:val="center"/>
              <w:rPr>
                <w:szCs w:val="21"/>
              </w:rPr>
            </w:pPr>
            <w:r>
              <w:rPr>
                <w:szCs w:val="21"/>
              </w:rPr>
              <w:t>1</w:t>
            </w:r>
          </w:p>
        </w:tc>
        <w:tc>
          <w:tcPr>
            <w:tcW w:w="0" w:type="auto"/>
            <w:vAlign w:val="center"/>
          </w:tcPr>
          <w:p w14:paraId="330F2D60">
            <w:pPr>
              <w:jc w:val="center"/>
              <w:rPr>
                <w:color w:val="000000"/>
                <w:kern w:val="0"/>
                <w:szCs w:val="21"/>
                <w:lang w:bidi="ar"/>
              </w:rPr>
            </w:pPr>
            <w:r>
              <w:rPr>
                <w:color w:val="000000"/>
                <w:kern w:val="0"/>
                <w:szCs w:val="21"/>
                <w:lang w:bidi="ar"/>
              </w:rPr>
              <w:t>C臂机</w:t>
            </w:r>
          </w:p>
        </w:tc>
        <w:tc>
          <w:tcPr>
            <w:tcW w:w="0" w:type="auto"/>
            <w:vAlign w:val="center"/>
          </w:tcPr>
          <w:p w14:paraId="684C860D">
            <w:pPr>
              <w:jc w:val="center"/>
              <w:rPr>
                <w:szCs w:val="21"/>
              </w:rPr>
            </w:pPr>
            <w:r>
              <w:rPr>
                <w:szCs w:val="21"/>
              </w:rPr>
              <w:t>OEC 9900 Elite</w:t>
            </w:r>
          </w:p>
        </w:tc>
        <w:tc>
          <w:tcPr>
            <w:tcW w:w="0" w:type="auto"/>
            <w:vAlign w:val="center"/>
          </w:tcPr>
          <w:p w14:paraId="5ABF9A2E">
            <w:pPr>
              <w:jc w:val="center"/>
              <w:rPr>
                <w:szCs w:val="21"/>
              </w:rPr>
            </w:pPr>
            <w:r>
              <w:rPr>
                <w:szCs w:val="21"/>
              </w:rPr>
              <w:t>E9-2968</w:t>
            </w:r>
          </w:p>
        </w:tc>
        <w:tc>
          <w:tcPr>
            <w:tcW w:w="0" w:type="auto"/>
            <w:vAlign w:val="center"/>
          </w:tcPr>
          <w:p w14:paraId="038AC16A">
            <w:pPr>
              <w:jc w:val="center"/>
              <w:rPr>
                <w:szCs w:val="21"/>
              </w:rPr>
            </w:pPr>
            <w:r>
              <w:rPr>
                <w:szCs w:val="21"/>
              </w:rPr>
              <w:t>管电压110kV</w:t>
            </w:r>
          </w:p>
          <w:p w14:paraId="7D2AA5CB">
            <w:pPr>
              <w:jc w:val="center"/>
              <w:rPr>
                <w:szCs w:val="21"/>
              </w:rPr>
            </w:pPr>
            <w:r>
              <w:rPr>
                <w:szCs w:val="21"/>
              </w:rPr>
              <w:t>管电流80mA</w:t>
            </w:r>
          </w:p>
        </w:tc>
        <w:tc>
          <w:tcPr>
            <w:tcW w:w="0" w:type="auto"/>
            <w:vAlign w:val="center"/>
          </w:tcPr>
          <w:p w14:paraId="682755FA">
            <w:pPr>
              <w:jc w:val="center"/>
              <w:rPr>
                <w:szCs w:val="21"/>
              </w:rPr>
            </w:pPr>
            <w:r>
              <w:rPr>
                <w:szCs w:val="21"/>
              </w:rPr>
              <w:t>GE</w:t>
            </w:r>
          </w:p>
        </w:tc>
      </w:tr>
      <w:tr w14:paraId="16D4B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351A3694">
            <w:pPr>
              <w:widowControl/>
              <w:jc w:val="center"/>
              <w:textAlignment w:val="center"/>
              <w:rPr>
                <w:b/>
                <w:color w:val="000000"/>
                <w:szCs w:val="21"/>
              </w:rPr>
            </w:pPr>
            <w:r>
              <w:rPr>
                <w:b/>
                <w:color w:val="000000"/>
                <w:kern w:val="0"/>
                <w:szCs w:val="21"/>
                <w:lang w:bidi="ar"/>
              </w:rPr>
              <w:t>34</w:t>
            </w:r>
          </w:p>
        </w:tc>
        <w:tc>
          <w:tcPr>
            <w:tcW w:w="0" w:type="auto"/>
            <w:vMerge w:val="continue"/>
            <w:vAlign w:val="center"/>
          </w:tcPr>
          <w:p w14:paraId="49AC9545">
            <w:pPr>
              <w:widowControl/>
              <w:jc w:val="center"/>
              <w:textAlignment w:val="center"/>
              <w:rPr>
                <w:color w:val="000000"/>
                <w:kern w:val="0"/>
                <w:szCs w:val="21"/>
                <w:lang w:bidi="ar"/>
              </w:rPr>
            </w:pPr>
          </w:p>
        </w:tc>
        <w:tc>
          <w:tcPr>
            <w:tcW w:w="0" w:type="auto"/>
          </w:tcPr>
          <w:p w14:paraId="7CE7592C">
            <w:pPr>
              <w:widowControl/>
              <w:jc w:val="center"/>
              <w:textAlignment w:val="center"/>
              <w:rPr>
                <w:color w:val="000000"/>
                <w:szCs w:val="21"/>
              </w:rPr>
            </w:pPr>
            <w:r>
              <w:rPr>
                <w:color w:val="000000"/>
                <w:szCs w:val="21"/>
              </w:rPr>
              <w:t>血管造影用X射线装置</w:t>
            </w:r>
          </w:p>
        </w:tc>
        <w:tc>
          <w:tcPr>
            <w:tcW w:w="0" w:type="auto"/>
          </w:tcPr>
          <w:p w14:paraId="5254D668">
            <w:pPr>
              <w:jc w:val="center"/>
              <w:rPr>
                <w:szCs w:val="21"/>
              </w:rPr>
            </w:pPr>
            <w:r>
              <w:rPr>
                <w:color w:val="000000"/>
                <w:szCs w:val="21"/>
              </w:rPr>
              <w:t>II类</w:t>
            </w:r>
          </w:p>
        </w:tc>
        <w:tc>
          <w:tcPr>
            <w:tcW w:w="0" w:type="auto"/>
            <w:vAlign w:val="center"/>
          </w:tcPr>
          <w:p w14:paraId="1BB24380">
            <w:pPr>
              <w:widowControl/>
              <w:jc w:val="center"/>
              <w:textAlignment w:val="center"/>
              <w:rPr>
                <w:color w:val="000000"/>
                <w:kern w:val="0"/>
                <w:szCs w:val="21"/>
                <w:lang w:bidi="ar"/>
              </w:rPr>
            </w:pPr>
            <w:r>
              <w:rPr>
                <w:szCs w:val="21"/>
              </w:rPr>
              <w:t>使用</w:t>
            </w:r>
          </w:p>
        </w:tc>
        <w:tc>
          <w:tcPr>
            <w:tcW w:w="0" w:type="auto"/>
            <w:vAlign w:val="center"/>
          </w:tcPr>
          <w:p w14:paraId="20D458AC">
            <w:pPr>
              <w:jc w:val="center"/>
              <w:rPr>
                <w:szCs w:val="21"/>
              </w:rPr>
            </w:pPr>
            <w:r>
              <w:rPr>
                <w:szCs w:val="21"/>
              </w:rPr>
              <w:t>1</w:t>
            </w:r>
          </w:p>
        </w:tc>
        <w:tc>
          <w:tcPr>
            <w:tcW w:w="0" w:type="auto"/>
            <w:vAlign w:val="center"/>
          </w:tcPr>
          <w:p w14:paraId="0D5A89CA">
            <w:pPr>
              <w:jc w:val="center"/>
              <w:rPr>
                <w:color w:val="000000"/>
                <w:kern w:val="0"/>
                <w:szCs w:val="21"/>
                <w:lang w:bidi="ar"/>
              </w:rPr>
            </w:pPr>
            <w:r>
              <w:rPr>
                <w:color w:val="000000"/>
                <w:kern w:val="0"/>
                <w:szCs w:val="21"/>
                <w:lang w:bidi="ar"/>
              </w:rPr>
              <w:t>DSA机</w:t>
            </w:r>
          </w:p>
        </w:tc>
        <w:tc>
          <w:tcPr>
            <w:tcW w:w="0" w:type="auto"/>
            <w:vAlign w:val="center"/>
          </w:tcPr>
          <w:p w14:paraId="6564D2E9">
            <w:pPr>
              <w:jc w:val="center"/>
              <w:rPr>
                <w:szCs w:val="21"/>
              </w:rPr>
            </w:pPr>
            <w:r>
              <w:rPr>
                <w:szCs w:val="21"/>
              </w:rPr>
              <w:t>Allura Xper FD20</w:t>
            </w:r>
          </w:p>
        </w:tc>
        <w:tc>
          <w:tcPr>
            <w:tcW w:w="0" w:type="auto"/>
            <w:vAlign w:val="center"/>
          </w:tcPr>
          <w:p w14:paraId="67FC2E40">
            <w:pPr>
              <w:jc w:val="center"/>
              <w:rPr>
                <w:szCs w:val="21"/>
              </w:rPr>
            </w:pPr>
            <w:r>
              <w:rPr>
                <w:szCs w:val="21"/>
              </w:rPr>
              <w:t>170</w:t>
            </w:r>
          </w:p>
        </w:tc>
        <w:tc>
          <w:tcPr>
            <w:tcW w:w="0" w:type="auto"/>
            <w:vAlign w:val="center"/>
          </w:tcPr>
          <w:p w14:paraId="508745E2">
            <w:pPr>
              <w:jc w:val="center"/>
              <w:rPr>
                <w:szCs w:val="21"/>
              </w:rPr>
            </w:pPr>
            <w:r>
              <w:rPr>
                <w:szCs w:val="21"/>
              </w:rPr>
              <w:t>管电压125kV</w:t>
            </w:r>
          </w:p>
          <w:p w14:paraId="7090D9DF">
            <w:pPr>
              <w:jc w:val="center"/>
              <w:rPr>
                <w:szCs w:val="21"/>
              </w:rPr>
            </w:pPr>
            <w:r>
              <w:rPr>
                <w:szCs w:val="21"/>
              </w:rPr>
              <w:t>管电流1250mA</w:t>
            </w:r>
          </w:p>
        </w:tc>
        <w:tc>
          <w:tcPr>
            <w:tcW w:w="0" w:type="auto"/>
            <w:vAlign w:val="center"/>
          </w:tcPr>
          <w:p w14:paraId="00033A00">
            <w:pPr>
              <w:jc w:val="center"/>
              <w:rPr>
                <w:szCs w:val="21"/>
              </w:rPr>
            </w:pPr>
            <w:r>
              <w:rPr>
                <w:szCs w:val="21"/>
              </w:rPr>
              <w:t>飞利浦</w:t>
            </w:r>
          </w:p>
        </w:tc>
      </w:tr>
      <w:tr w14:paraId="14142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79FF3E21">
            <w:pPr>
              <w:widowControl/>
              <w:jc w:val="center"/>
              <w:textAlignment w:val="center"/>
              <w:rPr>
                <w:b/>
                <w:color w:val="000000"/>
                <w:szCs w:val="21"/>
              </w:rPr>
            </w:pPr>
            <w:r>
              <w:rPr>
                <w:b/>
                <w:color w:val="000000"/>
                <w:kern w:val="0"/>
                <w:szCs w:val="21"/>
                <w:lang w:bidi="ar"/>
              </w:rPr>
              <w:t>35</w:t>
            </w:r>
          </w:p>
        </w:tc>
        <w:tc>
          <w:tcPr>
            <w:tcW w:w="0" w:type="auto"/>
            <w:vAlign w:val="center"/>
          </w:tcPr>
          <w:p w14:paraId="4FFF81AB">
            <w:pPr>
              <w:widowControl/>
              <w:jc w:val="center"/>
              <w:textAlignment w:val="center"/>
              <w:rPr>
                <w:color w:val="000000"/>
                <w:kern w:val="0"/>
                <w:szCs w:val="21"/>
                <w:lang w:bidi="ar"/>
              </w:rPr>
            </w:pPr>
            <w:r>
              <w:rPr>
                <w:color w:val="000000"/>
                <w:kern w:val="0"/>
                <w:szCs w:val="21"/>
                <w:lang w:bidi="ar"/>
              </w:rPr>
              <w:t>本院区8号楼一楼</w:t>
            </w:r>
          </w:p>
        </w:tc>
        <w:tc>
          <w:tcPr>
            <w:tcW w:w="0" w:type="auto"/>
            <w:vAlign w:val="center"/>
          </w:tcPr>
          <w:p w14:paraId="181E6127">
            <w:pPr>
              <w:widowControl/>
              <w:jc w:val="center"/>
              <w:textAlignment w:val="center"/>
              <w:rPr>
                <w:color w:val="000000"/>
                <w:szCs w:val="21"/>
              </w:rPr>
            </w:pPr>
            <w:r>
              <w:rPr>
                <w:color w:val="000000"/>
                <w:szCs w:val="21"/>
              </w:rPr>
              <w:t>医用诊断X射线装置</w:t>
            </w:r>
          </w:p>
        </w:tc>
        <w:tc>
          <w:tcPr>
            <w:tcW w:w="0" w:type="auto"/>
          </w:tcPr>
          <w:p w14:paraId="6081DB73">
            <w:pPr>
              <w:jc w:val="center"/>
              <w:rPr>
                <w:szCs w:val="21"/>
              </w:rPr>
            </w:pPr>
            <w:r>
              <w:rPr>
                <w:color w:val="000000"/>
                <w:szCs w:val="21"/>
              </w:rPr>
              <w:t>III类</w:t>
            </w:r>
          </w:p>
        </w:tc>
        <w:tc>
          <w:tcPr>
            <w:tcW w:w="0" w:type="auto"/>
            <w:vAlign w:val="center"/>
          </w:tcPr>
          <w:p w14:paraId="70CCB326">
            <w:pPr>
              <w:widowControl/>
              <w:jc w:val="center"/>
              <w:textAlignment w:val="center"/>
              <w:rPr>
                <w:color w:val="000000"/>
                <w:kern w:val="0"/>
                <w:szCs w:val="21"/>
                <w:lang w:bidi="ar"/>
              </w:rPr>
            </w:pPr>
            <w:r>
              <w:rPr>
                <w:szCs w:val="21"/>
              </w:rPr>
              <w:t>使用</w:t>
            </w:r>
          </w:p>
        </w:tc>
        <w:tc>
          <w:tcPr>
            <w:tcW w:w="0" w:type="auto"/>
            <w:vAlign w:val="center"/>
          </w:tcPr>
          <w:p w14:paraId="7801B9FA">
            <w:pPr>
              <w:jc w:val="center"/>
              <w:rPr>
                <w:szCs w:val="21"/>
              </w:rPr>
            </w:pPr>
            <w:r>
              <w:rPr>
                <w:szCs w:val="21"/>
              </w:rPr>
              <w:t>1</w:t>
            </w:r>
          </w:p>
        </w:tc>
        <w:tc>
          <w:tcPr>
            <w:tcW w:w="0" w:type="auto"/>
            <w:vAlign w:val="center"/>
          </w:tcPr>
          <w:p w14:paraId="7548B1B7">
            <w:pPr>
              <w:jc w:val="center"/>
              <w:rPr>
                <w:color w:val="000000"/>
                <w:kern w:val="0"/>
                <w:szCs w:val="21"/>
                <w:lang w:bidi="ar"/>
              </w:rPr>
            </w:pPr>
            <w:r>
              <w:rPr>
                <w:color w:val="000000"/>
                <w:kern w:val="0"/>
                <w:szCs w:val="21"/>
                <w:lang w:bidi="ar"/>
              </w:rPr>
              <w:t>体外冲击波碎石机</w:t>
            </w:r>
          </w:p>
        </w:tc>
        <w:tc>
          <w:tcPr>
            <w:tcW w:w="0" w:type="auto"/>
            <w:vAlign w:val="center"/>
          </w:tcPr>
          <w:p w14:paraId="00D6AA1A">
            <w:pPr>
              <w:jc w:val="center"/>
              <w:rPr>
                <w:szCs w:val="21"/>
              </w:rPr>
            </w:pPr>
            <w:r>
              <w:rPr>
                <w:szCs w:val="21"/>
              </w:rPr>
              <w:t>HB-ESWL-VG</w:t>
            </w:r>
          </w:p>
        </w:tc>
        <w:tc>
          <w:tcPr>
            <w:tcW w:w="0" w:type="auto"/>
            <w:vAlign w:val="center"/>
          </w:tcPr>
          <w:p w14:paraId="46485B39">
            <w:pPr>
              <w:jc w:val="center"/>
              <w:rPr>
                <w:szCs w:val="21"/>
              </w:rPr>
            </w:pPr>
            <w:r>
              <w:rPr>
                <w:szCs w:val="21"/>
              </w:rPr>
              <w:t>No.951</w:t>
            </w:r>
          </w:p>
        </w:tc>
        <w:tc>
          <w:tcPr>
            <w:tcW w:w="0" w:type="auto"/>
            <w:vAlign w:val="center"/>
          </w:tcPr>
          <w:p w14:paraId="60E060E3">
            <w:pPr>
              <w:jc w:val="center"/>
              <w:rPr>
                <w:szCs w:val="21"/>
              </w:rPr>
            </w:pPr>
            <w:r>
              <w:rPr>
                <w:szCs w:val="21"/>
              </w:rPr>
              <w:t>管电压110kV</w:t>
            </w:r>
          </w:p>
          <w:p w14:paraId="1AF1DF33">
            <w:pPr>
              <w:jc w:val="center"/>
              <w:rPr>
                <w:szCs w:val="21"/>
              </w:rPr>
            </w:pPr>
            <w:r>
              <w:rPr>
                <w:szCs w:val="21"/>
              </w:rPr>
              <w:t>管电流3mA</w:t>
            </w:r>
          </w:p>
        </w:tc>
        <w:tc>
          <w:tcPr>
            <w:tcW w:w="0" w:type="auto"/>
            <w:vAlign w:val="center"/>
          </w:tcPr>
          <w:p w14:paraId="4C0C6F3C">
            <w:pPr>
              <w:jc w:val="center"/>
              <w:rPr>
                <w:szCs w:val="21"/>
              </w:rPr>
            </w:pPr>
            <w:r>
              <w:rPr>
                <w:szCs w:val="21"/>
              </w:rPr>
              <w:t>湛江海滨</w:t>
            </w:r>
          </w:p>
        </w:tc>
      </w:tr>
      <w:tr w14:paraId="5B275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3BA6C23">
            <w:pPr>
              <w:widowControl/>
              <w:jc w:val="center"/>
              <w:textAlignment w:val="center"/>
              <w:rPr>
                <w:b/>
                <w:color w:val="000000"/>
                <w:szCs w:val="21"/>
              </w:rPr>
            </w:pPr>
            <w:r>
              <w:rPr>
                <w:b/>
                <w:color w:val="000000"/>
                <w:kern w:val="0"/>
                <w:szCs w:val="21"/>
                <w:lang w:bidi="ar"/>
              </w:rPr>
              <w:t>36</w:t>
            </w:r>
          </w:p>
        </w:tc>
        <w:tc>
          <w:tcPr>
            <w:tcW w:w="0" w:type="auto"/>
            <w:vAlign w:val="center"/>
          </w:tcPr>
          <w:p w14:paraId="01D3615F">
            <w:pPr>
              <w:widowControl/>
              <w:jc w:val="center"/>
              <w:textAlignment w:val="center"/>
              <w:rPr>
                <w:color w:val="000000"/>
                <w:kern w:val="0"/>
                <w:szCs w:val="21"/>
                <w:lang w:bidi="ar"/>
              </w:rPr>
            </w:pPr>
            <w:r>
              <w:rPr>
                <w:color w:val="000000"/>
                <w:kern w:val="0"/>
                <w:szCs w:val="21"/>
                <w:lang w:bidi="ar"/>
              </w:rPr>
              <w:t>萝岗院区感染科一楼方舱</w:t>
            </w:r>
          </w:p>
        </w:tc>
        <w:tc>
          <w:tcPr>
            <w:tcW w:w="0" w:type="auto"/>
            <w:vAlign w:val="center"/>
          </w:tcPr>
          <w:p w14:paraId="254B2725">
            <w:pPr>
              <w:widowControl/>
              <w:jc w:val="center"/>
              <w:textAlignment w:val="center"/>
              <w:rPr>
                <w:color w:val="000000"/>
                <w:szCs w:val="21"/>
              </w:rPr>
            </w:pPr>
            <w:r>
              <w:rPr>
                <w:color w:val="000000"/>
                <w:szCs w:val="21"/>
              </w:rPr>
              <w:t>医用X射线计算机断层扫描（CT）装置</w:t>
            </w:r>
          </w:p>
        </w:tc>
        <w:tc>
          <w:tcPr>
            <w:tcW w:w="0" w:type="auto"/>
          </w:tcPr>
          <w:p w14:paraId="4F2981AC">
            <w:pPr>
              <w:jc w:val="center"/>
              <w:rPr>
                <w:szCs w:val="21"/>
              </w:rPr>
            </w:pPr>
            <w:r>
              <w:rPr>
                <w:color w:val="000000"/>
                <w:szCs w:val="21"/>
              </w:rPr>
              <w:t>III类</w:t>
            </w:r>
          </w:p>
        </w:tc>
        <w:tc>
          <w:tcPr>
            <w:tcW w:w="0" w:type="auto"/>
            <w:vAlign w:val="center"/>
          </w:tcPr>
          <w:p w14:paraId="06607C0E">
            <w:pPr>
              <w:widowControl/>
              <w:jc w:val="center"/>
              <w:textAlignment w:val="center"/>
              <w:rPr>
                <w:color w:val="000000"/>
                <w:kern w:val="0"/>
                <w:szCs w:val="21"/>
                <w:lang w:bidi="ar"/>
              </w:rPr>
            </w:pPr>
            <w:r>
              <w:rPr>
                <w:szCs w:val="21"/>
              </w:rPr>
              <w:t>使用</w:t>
            </w:r>
          </w:p>
        </w:tc>
        <w:tc>
          <w:tcPr>
            <w:tcW w:w="0" w:type="auto"/>
            <w:vAlign w:val="center"/>
          </w:tcPr>
          <w:p w14:paraId="3E83CD06">
            <w:pPr>
              <w:jc w:val="center"/>
              <w:rPr>
                <w:szCs w:val="21"/>
              </w:rPr>
            </w:pPr>
            <w:r>
              <w:rPr>
                <w:szCs w:val="21"/>
              </w:rPr>
              <w:t>1</w:t>
            </w:r>
          </w:p>
        </w:tc>
        <w:tc>
          <w:tcPr>
            <w:tcW w:w="0" w:type="auto"/>
            <w:vAlign w:val="center"/>
          </w:tcPr>
          <w:p w14:paraId="615D31E6">
            <w:pPr>
              <w:jc w:val="center"/>
              <w:rPr>
                <w:color w:val="000000"/>
                <w:kern w:val="0"/>
                <w:szCs w:val="21"/>
                <w:lang w:bidi="ar"/>
              </w:rPr>
            </w:pPr>
            <w:r>
              <w:rPr>
                <w:color w:val="000000"/>
                <w:kern w:val="0"/>
                <w:szCs w:val="21"/>
                <w:lang w:bidi="ar"/>
              </w:rPr>
              <w:t>方舱CT</w:t>
            </w:r>
          </w:p>
        </w:tc>
        <w:tc>
          <w:tcPr>
            <w:tcW w:w="0" w:type="auto"/>
            <w:vAlign w:val="center"/>
          </w:tcPr>
          <w:p w14:paraId="4F5032C6">
            <w:pPr>
              <w:jc w:val="center"/>
              <w:rPr>
                <w:szCs w:val="21"/>
              </w:rPr>
            </w:pPr>
            <w:r>
              <w:rPr>
                <w:szCs w:val="21"/>
              </w:rPr>
              <w:t>ScintCareCT128</w:t>
            </w:r>
          </w:p>
        </w:tc>
        <w:tc>
          <w:tcPr>
            <w:tcW w:w="0" w:type="auto"/>
            <w:vAlign w:val="center"/>
          </w:tcPr>
          <w:p w14:paraId="52B8B730">
            <w:pPr>
              <w:jc w:val="center"/>
              <w:rPr>
                <w:szCs w:val="21"/>
              </w:rPr>
            </w:pPr>
            <w:r>
              <w:rPr>
                <w:szCs w:val="21"/>
              </w:rPr>
              <w:t>MIN01A06010023</w:t>
            </w:r>
          </w:p>
        </w:tc>
        <w:tc>
          <w:tcPr>
            <w:tcW w:w="0" w:type="auto"/>
            <w:vAlign w:val="center"/>
          </w:tcPr>
          <w:p w14:paraId="13587D70">
            <w:pPr>
              <w:jc w:val="center"/>
              <w:rPr>
                <w:szCs w:val="21"/>
              </w:rPr>
            </w:pPr>
            <w:r>
              <w:rPr>
                <w:szCs w:val="21"/>
              </w:rPr>
              <w:t>管电压120kV</w:t>
            </w:r>
          </w:p>
          <w:p w14:paraId="44D0F2BA">
            <w:pPr>
              <w:jc w:val="center"/>
              <w:rPr>
                <w:szCs w:val="21"/>
              </w:rPr>
            </w:pPr>
            <w:r>
              <w:rPr>
                <w:szCs w:val="21"/>
              </w:rPr>
              <w:t>管电流750mA</w:t>
            </w:r>
          </w:p>
        </w:tc>
        <w:tc>
          <w:tcPr>
            <w:tcW w:w="0" w:type="auto"/>
            <w:vAlign w:val="center"/>
          </w:tcPr>
          <w:p w14:paraId="1EFC9686">
            <w:pPr>
              <w:jc w:val="center"/>
              <w:rPr>
                <w:szCs w:val="21"/>
              </w:rPr>
            </w:pPr>
            <w:r>
              <w:rPr>
                <w:szCs w:val="21"/>
              </w:rPr>
              <w:t>明峰</w:t>
            </w:r>
          </w:p>
        </w:tc>
      </w:tr>
      <w:tr w14:paraId="191E7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0FDD3A20">
            <w:pPr>
              <w:widowControl/>
              <w:jc w:val="center"/>
              <w:textAlignment w:val="center"/>
              <w:rPr>
                <w:b/>
                <w:color w:val="000000"/>
                <w:szCs w:val="21"/>
              </w:rPr>
            </w:pPr>
            <w:r>
              <w:rPr>
                <w:b/>
                <w:color w:val="000000"/>
                <w:kern w:val="0"/>
                <w:szCs w:val="21"/>
                <w:lang w:bidi="ar"/>
              </w:rPr>
              <w:t>37</w:t>
            </w:r>
          </w:p>
        </w:tc>
        <w:tc>
          <w:tcPr>
            <w:tcW w:w="0" w:type="auto"/>
            <w:vMerge w:val="restart"/>
            <w:vAlign w:val="center"/>
          </w:tcPr>
          <w:p w14:paraId="350B91C7">
            <w:pPr>
              <w:widowControl/>
              <w:jc w:val="center"/>
              <w:textAlignment w:val="center"/>
              <w:rPr>
                <w:color w:val="000000"/>
                <w:kern w:val="0"/>
                <w:szCs w:val="21"/>
                <w:lang w:bidi="ar"/>
              </w:rPr>
            </w:pPr>
            <w:r>
              <w:rPr>
                <w:color w:val="000000"/>
                <w:kern w:val="0"/>
                <w:szCs w:val="21"/>
                <w:lang w:bidi="ar"/>
              </w:rPr>
              <w:t>萝岗院区医技楼一楼</w:t>
            </w:r>
          </w:p>
        </w:tc>
        <w:tc>
          <w:tcPr>
            <w:tcW w:w="0" w:type="auto"/>
          </w:tcPr>
          <w:p w14:paraId="17E442F5">
            <w:pPr>
              <w:widowControl/>
              <w:jc w:val="center"/>
              <w:textAlignment w:val="center"/>
              <w:rPr>
                <w:color w:val="000000"/>
                <w:szCs w:val="21"/>
              </w:rPr>
            </w:pPr>
            <w:r>
              <w:rPr>
                <w:color w:val="000000"/>
                <w:szCs w:val="21"/>
              </w:rPr>
              <w:t>医用诊断X射线装置</w:t>
            </w:r>
          </w:p>
        </w:tc>
        <w:tc>
          <w:tcPr>
            <w:tcW w:w="0" w:type="auto"/>
          </w:tcPr>
          <w:p w14:paraId="2AE9654E">
            <w:pPr>
              <w:jc w:val="center"/>
              <w:rPr>
                <w:szCs w:val="21"/>
              </w:rPr>
            </w:pPr>
            <w:r>
              <w:rPr>
                <w:color w:val="000000"/>
                <w:szCs w:val="21"/>
              </w:rPr>
              <w:t>III类</w:t>
            </w:r>
          </w:p>
        </w:tc>
        <w:tc>
          <w:tcPr>
            <w:tcW w:w="0" w:type="auto"/>
            <w:vAlign w:val="center"/>
          </w:tcPr>
          <w:p w14:paraId="56E032EF">
            <w:pPr>
              <w:widowControl/>
              <w:jc w:val="center"/>
              <w:textAlignment w:val="center"/>
              <w:rPr>
                <w:color w:val="000000"/>
                <w:kern w:val="0"/>
                <w:szCs w:val="21"/>
                <w:lang w:bidi="ar"/>
              </w:rPr>
            </w:pPr>
            <w:r>
              <w:rPr>
                <w:szCs w:val="21"/>
              </w:rPr>
              <w:t>使用</w:t>
            </w:r>
          </w:p>
        </w:tc>
        <w:tc>
          <w:tcPr>
            <w:tcW w:w="0" w:type="auto"/>
            <w:vAlign w:val="center"/>
          </w:tcPr>
          <w:p w14:paraId="720ECD3E">
            <w:pPr>
              <w:jc w:val="center"/>
              <w:rPr>
                <w:szCs w:val="21"/>
              </w:rPr>
            </w:pPr>
            <w:r>
              <w:rPr>
                <w:szCs w:val="21"/>
              </w:rPr>
              <w:t>1</w:t>
            </w:r>
          </w:p>
        </w:tc>
        <w:tc>
          <w:tcPr>
            <w:tcW w:w="0" w:type="auto"/>
            <w:vAlign w:val="center"/>
          </w:tcPr>
          <w:p w14:paraId="3CE4BC3C">
            <w:pPr>
              <w:jc w:val="center"/>
              <w:rPr>
                <w:color w:val="000000"/>
                <w:kern w:val="0"/>
                <w:szCs w:val="21"/>
                <w:lang w:bidi="ar"/>
              </w:rPr>
            </w:pPr>
            <w:r>
              <w:rPr>
                <w:color w:val="000000"/>
                <w:kern w:val="0"/>
                <w:szCs w:val="21"/>
                <w:lang w:bidi="ar"/>
              </w:rPr>
              <w:t>肠胃机</w:t>
            </w:r>
          </w:p>
        </w:tc>
        <w:tc>
          <w:tcPr>
            <w:tcW w:w="0" w:type="auto"/>
            <w:vAlign w:val="center"/>
          </w:tcPr>
          <w:p w14:paraId="2E161540">
            <w:pPr>
              <w:jc w:val="center"/>
              <w:rPr>
                <w:szCs w:val="21"/>
              </w:rPr>
            </w:pPr>
            <w:r>
              <w:rPr>
                <w:szCs w:val="21"/>
              </w:rPr>
              <w:t>上海电气Apsaras Opera FP 君悦型</w:t>
            </w:r>
          </w:p>
        </w:tc>
        <w:tc>
          <w:tcPr>
            <w:tcW w:w="0" w:type="auto"/>
            <w:vAlign w:val="center"/>
          </w:tcPr>
          <w:p w14:paraId="203A0EB8">
            <w:pPr>
              <w:jc w:val="center"/>
              <w:rPr>
                <w:szCs w:val="21"/>
              </w:rPr>
            </w:pPr>
            <w:r>
              <w:rPr>
                <w:szCs w:val="21"/>
              </w:rPr>
              <w:t>KW532235046</w:t>
            </w:r>
          </w:p>
        </w:tc>
        <w:tc>
          <w:tcPr>
            <w:tcW w:w="0" w:type="auto"/>
            <w:vAlign w:val="center"/>
          </w:tcPr>
          <w:p w14:paraId="6E5373D8">
            <w:pPr>
              <w:jc w:val="center"/>
              <w:rPr>
                <w:szCs w:val="21"/>
              </w:rPr>
            </w:pPr>
            <w:r>
              <w:rPr>
                <w:szCs w:val="21"/>
              </w:rPr>
              <w:t>管电压125kV</w:t>
            </w:r>
          </w:p>
          <w:p w14:paraId="12901EDB">
            <w:pPr>
              <w:jc w:val="center"/>
              <w:rPr>
                <w:szCs w:val="21"/>
              </w:rPr>
            </w:pPr>
            <w:r>
              <w:rPr>
                <w:szCs w:val="21"/>
              </w:rPr>
              <w:t>管电流1000mA</w:t>
            </w:r>
          </w:p>
        </w:tc>
        <w:tc>
          <w:tcPr>
            <w:tcW w:w="0" w:type="auto"/>
            <w:vAlign w:val="center"/>
          </w:tcPr>
          <w:p w14:paraId="3DFC74ED">
            <w:pPr>
              <w:jc w:val="center"/>
              <w:rPr>
                <w:szCs w:val="21"/>
              </w:rPr>
            </w:pPr>
            <w:r>
              <w:rPr>
                <w:szCs w:val="21"/>
              </w:rPr>
              <w:t>上海电气</w:t>
            </w:r>
          </w:p>
        </w:tc>
      </w:tr>
      <w:tr w14:paraId="41465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410FD582">
            <w:pPr>
              <w:widowControl/>
              <w:jc w:val="center"/>
              <w:textAlignment w:val="center"/>
              <w:rPr>
                <w:b/>
                <w:color w:val="000000"/>
                <w:kern w:val="0"/>
                <w:szCs w:val="21"/>
                <w:lang w:bidi="ar"/>
              </w:rPr>
            </w:pPr>
            <w:r>
              <w:rPr>
                <w:b/>
                <w:color w:val="000000"/>
                <w:kern w:val="0"/>
                <w:szCs w:val="21"/>
                <w:lang w:bidi="ar"/>
              </w:rPr>
              <w:t>38</w:t>
            </w:r>
          </w:p>
        </w:tc>
        <w:tc>
          <w:tcPr>
            <w:tcW w:w="0" w:type="auto"/>
            <w:vMerge w:val="continue"/>
            <w:vAlign w:val="center"/>
          </w:tcPr>
          <w:p w14:paraId="177EB58B">
            <w:pPr>
              <w:widowControl/>
              <w:jc w:val="center"/>
              <w:textAlignment w:val="center"/>
              <w:rPr>
                <w:color w:val="000000"/>
                <w:kern w:val="0"/>
                <w:szCs w:val="21"/>
                <w:lang w:bidi="ar"/>
              </w:rPr>
            </w:pPr>
          </w:p>
        </w:tc>
        <w:tc>
          <w:tcPr>
            <w:tcW w:w="0" w:type="auto"/>
          </w:tcPr>
          <w:p w14:paraId="73075CC0">
            <w:pPr>
              <w:widowControl/>
              <w:jc w:val="center"/>
              <w:textAlignment w:val="center"/>
              <w:rPr>
                <w:color w:val="000000"/>
                <w:szCs w:val="21"/>
              </w:rPr>
            </w:pPr>
            <w:r>
              <w:rPr>
                <w:color w:val="000000"/>
                <w:szCs w:val="21"/>
              </w:rPr>
              <w:t>医用诊断X射线装置</w:t>
            </w:r>
          </w:p>
        </w:tc>
        <w:tc>
          <w:tcPr>
            <w:tcW w:w="0" w:type="auto"/>
          </w:tcPr>
          <w:p w14:paraId="7C7E27FC">
            <w:pPr>
              <w:widowControl/>
              <w:jc w:val="center"/>
              <w:textAlignment w:val="center"/>
              <w:rPr>
                <w:color w:val="000000"/>
                <w:kern w:val="0"/>
                <w:szCs w:val="21"/>
                <w:lang w:bidi="ar"/>
              </w:rPr>
            </w:pPr>
            <w:r>
              <w:rPr>
                <w:color w:val="000000"/>
                <w:szCs w:val="21"/>
              </w:rPr>
              <w:t>III类</w:t>
            </w:r>
          </w:p>
        </w:tc>
        <w:tc>
          <w:tcPr>
            <w:tcW w:w="0" w:type="auto"/>
            <w:vAlign w:val="center"/>
          </w:tcPr>
          <w:p w14:paraId="0ED0E0AA">
            <w:pPr>
              <w:widowControl/>
              <w:jc w:val="center"/>
              <w:textAlignment w:val="center"/>
              <w:rPr>
                <w:color w:val="000000"/>
                <w:kern w:val="0"/>
                <w:szCs w:val="21"/>
                <w:lang w:bidi="ar"/>
              </w:rPr>
            </w:pPr>
            <w:r>
              <w:rPr>
                <w:szCs w:val="21"/>
              </w:rPr>
              <w:t>使用</w:t>
            </w:r>
          </w:p>
        </w:tc>
        <w:tc>
          <w:tcPr>
            <w:tcW w:w="0" w:type="auto"/>
            <w:vAlign w:val="center"/>
          </w:tcPr>
          <w:p w14:paraId="7E47A5CE">
            <w:pPr>
              <w:jc w:val="center"/>
              <w:rPr>
                <w:szCs w:val="21"/>
              </w:rPr>
            </w:pPr>
            <w:r>
              <w:rPr>
                <w:szCs w:val="21"/>
              </w:rPr>
              <w:t>1</w:t>
            </w:r>
          </w:p>
        </w:tc>
        <w:tc>
          <w:tcPr>
            <w:tcW w:w="0" w:type="auto"/>
            <w:vAlign w:val="center"/>
          </w:tcPr>
          <w:p w14:paraId="1DB0DE0D">
            <w:pPr>
              <w:jc w:val="center"/>
              <w:rPr>
                <w:color w:val="000000"/>
                <w:kern w:val="0"/>
                <w:szCs w:val="21"/>
                <w:lang w:bidi="ar"/>
              </w:rPr>
            </w:pPr>
            <w:r>
              <w:rPr>
                <w:color w:val="000000"/>
                <w:kern w:val="0"/>
                <w:szCs w:val="21"/>
                <w:lang w:bidi="ar"/>
              </w:rPr>
              <w:t>DR机</w:t>
            </w:r>
          </w:p>
        </w:tc>
        <w:tc>
          <w:tcPr>
            <w:tcW w:w="0" w:type="auto"/>
            <w:vAlign w:val="center"/>
          </w:tcPr>
          <w:p w14:paraId="25436946">
            <w:pPr>
              <w:jc w:val="center"/>
              <w:rPr>
                <w:szCs w:val="21"/>
              </w:rPr>
            </w:pPr>
            <w:r>
              <w:rPr>
                <w:szCs w:val="21"/>
              </w:rPr>
              <w:t>Digital Diagnost c90</w:t>
            </w:r>
          </w:p>
        </w:tc>
        <w:tc>
          <w:tcPr>
            <w:tcW w:w="0" w:type="auto"/>
            <w:vAlign w:val="center"/>
          </w:tcPr>
          <w:p w14:paraId="262A6006">
            <w:pPr>
              <w:jc w:val="center"/>
              <w:rPr>
                <w:szCs w:val="21"/>
              </w:rPr>
            </w:pPr>
            <w:r>
              <w:rPr>
                <w:szCs w:val="21"/>
              </w:rPr>
              <w:t>220020</w:t>
            </w:r>
          </w:p>
        </w:tc>
        <w:tc>
          <w:tcPr>
            <w:tcW w:w="0" w:type="auto"/>
            <w:vAlign w:val="center"/>
          </w:tcPr>
          <w:p w14:paraId="42B2857F">
            <w:pPr>
              <w:jc w:val="center"/>
              <w:rPr>
                <w:szCs w:val="21"/>
              </w:rPr>
            </w:pPr>
            <w:r>
              <w:rPr>
                <w:szCs w:val="21"/>
              </w:rPr>
              <w:t>管电压150kV</w:t>
            </w:r>
          </w:p>
          <w:p w14:paraId="55B81F45">
            <w:pPr>
              <w:jc w:val="center"/>
              <w:rPr>
                <w:szCs w:val="21"/>
              </w:rPr>
            </w:pPr>
            <w:r>
              <w:rPr>
                <w:szCs w:val="21"/>
              </w:rPr>
              <w:t>管电流1000mA</w:t>
            </w:r>
          </w:p>
        </w:tc>
        <w:tc>
          <w:tcPr>
            <w:tcW w:w="0" w:type="auto"/>
            <w:vAlign w:val="center"/>
          </w:tcPr>
          <w:p w14:paraId="13947482">
            <w:pPr>
              <w:jc w:val="center"/>
              <w:rPr>
                <w:szCs w:val="21"/>
              </w:rPr>
            </w:pPr>
            <w:r>
              <w:rPr>
                <w:szCs w:val="21"/>
              </w:rPr>
              <w:t>飞利浦</w:t>
            </w:r>
          </w:p>
        </w:tc>
      </w:tr>
      <w:tr w14:paraId="73B66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43412528">
            <w:pPr>
              <w:widowControl/>
              <w:jc w:val="center"/>
              <w:textAlignment w:val="center"/>
              <w:rPr>
                <w:b/>
                <w:color w:val="000000"/>
                <w:kern w:val="0"/>
                <w:szCs w:val="21"/>
                <w:lang w:bidi="ar"/>
              </w:rPr>
            </w:pPr>
            <w:r>
              <w:rPr>
                <w:b/>
                <w:color w:val="000000"/>
                <w:kern w:val="0"/>
                <w:szCs w:val="21"/>
                <w:lang w:bidi="ar"/>
              </w:rPr>
              <w:t>39</w:t>
            </w:r>
          </w:p>
        </w:tc>
        <w:tc>
          <w:tcPr>
            <w:tcW w:w="0" w:type="auto"/>
            <w:vMerge w:val="continue"/>
            <w:vAlign w:val="center"/>
          </w:tcPr>
          <w:p w14:paraId="353B40C1">
            <w:pPr>
              <w:widowControl/>
              <w:jc w:val="center"/>
              <w:textAlignment w:val="center"/>
              <w:rPr>
                <w:color w:val="000000"/>
                <w:kern w:val="0"/>
                <w:szCs w:val="21"/>
                <w:lang w:bidi="ar"/>
              </w:rPr>
            </w:pPr>
          </w:p>
        </w:tc>
        <w:tc>
          <w:tcPr>
            <w:tcW w:w="0" w:type="auto"/>
          </w:tcPr>
          <w:p w14:paraId="3D30020E">
            <w:pPr>
              <w:widowControl/>
              <w:jc w:val="center"/>
              <w:textAlignment w:val="center"/>
              <w:rPr>
                <w:color w:val="000000"/>
                <w:szCs w:val="21"/>
              </w:rPr>
            </w:pPr>
            <w:r>
              <w:rPr>
                <w:color w:val="000000"/>
                <w:szCs w:val="21"/>
              </w:rPr>
              <w:t>医用诊断X射线装置</w:t>
            </w:r>
          </w:p>
        </w:tc>
        <w:tc>
          <w:tcPr>
            <w:tcW w:w="0" w:type="auto"/>
          </w:tcPr>
          <w:p w14:paraId="75CBBA09">
            <w:pPr>
              <w:jc w:val="center"/>
              <w:rPr>
                <w:szCs w:val="21"/>
              </w:rPr>
            </w:pPr>
            <w:r>
              <w:rPr>
                <w:color w:val="000000"/>
                <w:szCs w:val="21"/>
              </w:rPr>
              <w:t>III类</w:t>
            </w:r>
          </w:p>
        </w:tc>
        <w:tc>
          <w:tcPr>
            <w:tcW w:w="0" w:type="auto"/>
            <w:vAlign w:val="center"/>
          </w:tcPr>
          <w:p w14:paraId="23ACDB24">
            <w:pPr>
              <w:widowControl/>
              <w:jc w:val="center"/>
              <w:textAlignment w:val="center"/>
              <w:rPr>
                <w:color w:val="000000"/>
                <w:kern w:val="0"/>
                <w:szCs w:val="21"/>
                <w:lang w:bidi="ar"/>
              </w:rPr>
            </w:pPr>
            <w:r>
              <w:rPr>
                <w:szCs w:val="21"/>
              </w:rPr>
              <w:t>使用</w:t>
            </w:r>
          </w:p>
        </w:tc>
        <w:tc>
          <w:tcPr>
            <w:tcW w:w="0" w:type="auto"/>
            <w:vAlign w:val="center"/>
          </w:tcPr>
          <w:p w14:paraId="395FAEE6">
            <w:pPr>
              <w:jc w:val="center"/>
              <w:rPr>
                <w:color w:val="000000"/>
                <w:kern w:val="0"/>
                <w:szCs w:val="21"/>
                <w:lang w:bidi="ar"/>
              </w:rPr>
            </w:pPr>
            <w:r>
              <w:rPr>
                <w:szCs w:val="21"/>
              </w:rPr>
              <w:t>1</w:t>
            </w:r>
          </w:p>
        </w:tc>
        <w:tc>
          <w:tcPr>
            <w:tcW w:w="0" w:type="auto"/>
            <w:vAlign w:val="center"/>
          </w:tcPr>
          <w:p w14:paraId="26C57796">
            <w:pPr>
              <w:jc w:val="center"/>
              <w:rPr>
                <w:color w:val="000000"/>
                <w:kern w:val="0"/>
                <w:szCs w:val="21"/>
                <w:lang w:bidi="ar"/>
              </w:rPr>
            </w:pPr>
            <w:r>
              <w:rPr>
                <w:color w:val="000000"/>
                <w:kern w:val="0"/>
                <w:szCs w:val="21"/>
                <w:lang w:bidi="ar"/>
              </w:rPr>
              <w:t>移动式DR</w:t>
            </w:r>
          </w:p>
        </w:tc>
        <w:tc>
          <w:tcPr>
            <w:tcW w:w="0" w:type="auto"/>
            <w:vAlign w:val="center"/>
          </w:tcPr>
          <w:p w14:paraId="00897AA8">
            <w:pPr>
              <w:jc w:val="center"/>
              <w:rPr>
                <w:szCs w:val="21"/>
              </w:rPr>
            </w:pPr>
            <w:r>
              <w:rPr>
                <w:szCs w:val="21"/>
              </w:rPr>
              <w:t>DRXR-1</w:t>
            </w:r>
          </w:p>
        </w:tc>
        <w:tc>
          <w:tcPr>
            <w:tcW w:w="0" w:type="auto"/>
            <w:vAlign w:val="center"/>
          </w:tcPr>
          <w:p w14:paraId="3533253F">
            <w:pPr>
              <w:jc w:val="center"/>
              <w:rPr>
                <w:szCs w:val="21"/>
              </w:rPr>
            </w:pPr>
            <w:r>
              <w:rPr>
                <w:szCs w:val="21"/>
              </w:rPr>
              <w:t>800271</w:t>
            </w:r>
          </w:p>
        </w:tc>
        <w:tc>
          <w:tcPr>
            <w:tcW w:w="0" w:type="auto"/>
            <w:vAlign w:val="center"/>
          </w:tcPr>
          <w:p w14:paraId="0628ADCB">
            <w:pPr>
              <w:jc w:val="center"/>
              <w:rPr>
                <w:szCs w:val="21"/>
              </w:rPr>
            </w:pPr>
            <w:r>
              <w:rPr>
                <w:szCs w:val="21"/>
              </w:rPr>
              <w:t>管电压150kV</w:t>
            </w:r>
          </w:p>
          <w:p w14:paraId="61A003CC">
            <w:pPr>
              <w:jc w:val="center"/>
              <w:rPr>
                <w:szCs w:val="21"/>
              </w:rPr>
            </w:pPr>
            <w:r>
              <w:rPr>
                <w:szCs w:val="21"/>
              </w:rPr>
              <w:t>管电流400mA</w:t>
            </w:r>
          </w:p>
        </w:tc>
        <w:tc>
          <w:tcPr>
            <w:tcW w:w="0" w:type="auto"/>
            <w:vAlign w:val="center"/>
          </w:tcPr>
          <w:p w14:paraId="52BE9066">
            <w:pPr>
              <w:jc w:val="center"/>
              <w:rPr>
                <w:szCs w:val="21"/>
              </w:rPr>
            </w:pPr>
            <w:r>
              <w:rPr>
                <w:szCs w:val="21"/>
              </w:rPr>
              <w:t>锐珂</w:t>
            </w:r>
          </w:p>
        </w:tc>
      </w:tr>
      <w:tr w14:paraId="501FF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38C473FA">
            <w:pPr>
              <w:widowControl/>
              <w:jc w:val="center"/>
              <w:textAlignment w:val="center"/>
              <w:rPr>
                <w:b/>
                <w:color w:val="000000"/>
                <w:kern w:val="0"/>
                <w:szCs w:val="21"/>
                <w:lang w:bidi="ar"/>
              </w:rPr>
            </w:pPr>
            <w:r>
              <w:rPr>
                <w:b/>
                <w:color w:val="000000"/>
                <w:kern w:val="0"/>
                <w:szCs w:val="21"/>
                <w:lang w:bidi="ar"/>
              </w:rPr>
              <w:t>40</w:t>
            </w:r>
          </w:p>
        </w:tc>
        <w:tc>
          <w:tcPr>
            <w:tcW w:w="0" w:type="auto"/>
            <w:vMerge w:val="continue"/>
            <w:vAlign w:val="center"/>
          </w:tcPr>
          <w:p w14:paraId="63A213C3">
            <w:pPr>
              <w:widowControl/>
              <w:jc w:val="center"/>
              <w:textAlignment w:val="center"/>
              <w:rPr>
                <w:color w:val="000000"/>
                <w:kern w:val="0"/>
                <w:szCs w:val="21"/>
                <w:lang w:bidi="ar"/>
              </w:rPr>
            </w:pPr>
          </w:p>
        </w:tc>
        <w:tc>
          <w:tcPr>
            <w:tcW w:w="0" w:type="auto"/>
          </w:tcPr>
          <w:p w14:paraId="5BDD06CA">
            <w:pPr>
              <w:widowControl/>
              <w:jc w:val="center"/>
              <w:textAlignment w:val="center"/>
              <w:rPr>
                <w:color w:val="000000"/>
                <w:szCs w:val="21"/>
              </w:rPr>
            </w:pPr>
            <w:r>
              <w:rPr>
                <w:color w:val="000000"/>
                <w:szCs w:val="21"/>
              </w:rPr>
              <w:t>医用诊断X射线装置</w:t>
            </w:r>
          </w:p>
        </w:tc>
        <w:tc>
          <w:tcPr>
            <w:tcW w:w="0" w:type="auto"/>
          </w:tcPr>
          <w:p w14:paraId="495A6340">
            <w:pPr>
              <w:widowControl/>
              <w:jc w:val="center"/>
              <w:textAlignment w:val="center"/>
              <w:rPr>
                <w:color w:val="000000"/>
                <w:kern w:val="0"/>
                <w:szCs w:val="21"/>
                <w:lang w:bidi="ar"/>
              </w:rPr>
            </w:pPr>
            <w:r>
              <w:rPr>
                <w:color w:val="000000"/>
                <w:szCs w:val="21"/>
              </w:rPr>
              <w:t>III类</w:t>
            </w:r>
          </w:p>
        </w:tc>
        <w:tc>
          <w:tcPr>
            <w:tcW w:w="0" w:type="auto"/>
            <w:vAlign w:val="center"/>
          </w:tcPr>
          <w:p w14:paraId="2B9E6F5C">
            <w:pPr>
              <w:widowControl/>
              <w:jc w:val="center"/>
              <w:textAlignment w:val="center"/>
              <w:rPr>
                <w:color w:val="000000"/>
                <w:kern w:val="0"/>
                <w:szCs w:val="21"/>
                <w:lang w:bidi="ar"/>
              </w:rPr>
            </w:pPr>
            <w:r>
              <w:rPr>
                <w:szCs w:val="21"/>
              </w:rPr>
              <w:t>使用</w:t>
            </w:r>
          </w:p>
        </w:tc>
        <w:tc>
          <w:tcPr>
            <w:tcW w:w="0" w:type="auto"/>
            <w:vAlign w:val="center"/>
          </w:tcPr>
          <w:p w14:paraId="7822DF7B">
            <w:pPr>
              <w:jc w:val="center"/>
              <w:rPr>
                <w:color w:val="000000"/>
                <w:kern w:val="0"/>
                <w:szCs w:val="21"/>
                <w:lang w:bidi="ar"/>
              </w:rPr>
            </w:pPr>
            <w:r>
              <w:rPr>
                <w:szCs w:val="21"/>
              </w:rPr>
              <w:t>1</w:t>
            </w:r>
          </w:p>
        </w:tc>
        <w:tc>
          <w:tcPr>
            <w:tcW w:w="0" w:type="auto"/>
            <w:vAlign w:val="center"/>
          </w:tcPr>
          <w:p w14:paraId="6CE46153">
            <w:pPr>
              <w:jc w:val="center"/>
              <w:rPr>
                <w:color w:val="000000"/>
                <w:kern w:val="0"/>
                <w:szCs w:val="21"/>
                <w:lang w:bidi="ar"/>
              </w:rPr>
            </w:pPr>
            <w:r>
              <w:rPr>
                <w:color w:val="000000"/>
                <w:kern w:val="0"/>
                <w:szCs w:val="21"/>
                <w:lang w:bidi="ar"/>
              </w:rPr>
              <w:t>移动式DR机</w:t>
            </w:r>
          </w:p>
        </w:tc>
        <w:tc>
          <w:tcPr>
            <w:tcW w:w="0" w:type="auto"/>
            <w:vAlign w:val="center"/>
          </w:tcPr>
          <w:p w14:paraId="10769FDF">
            <w:pPr>
              <w:jc w:val="center"/>
              <w:rPr>
                <w:szCs w:val="21"/>
              </w:rPr>
            </w:pPr>
            <w:r>
              <w:rPr>
                <w:szCs w:val="21"/>
              </w:rPr>
              <w:t>MobiEye 750T</w:t>
            </w:r>
          </w:p>
        </w:tc>
        <w:tc>
          <w:tcPr>
            <w:tcW w:w="0" w:type="auto"/>
            <w:vAlign w:val="center"/>
          </w:tcPr>
          <w:p w14:paraId="31DFE516">
            <w:pPr>
              <w:jc w:val="center"/>
              <w:rPr>
                <w:szCs w:val="21"/>
              </w:rPr>
            </w:pPr>
            <w:r>
              <w:rPr>
                <w:szCs w:val="21"/>
              </w:rPr>
              <w:t>EC8-29000008</w:t>
            </w:r>
          </w:p>
        </w:tc>
        <w:tc>
          <w:tcPr>
            <w:tcW w:w="0" w:type="auto"/>
            <w:vAlign w:val="center"/>
          </w:tcPr>
          <w:p w14:paraId="756443DF">
            <w:pPr>
              <w:jc w:val="center"/>
              <w:rPr>
                <w:szCs w:val="21"/>
              </w:rPr>
            </w:pPr>
            <w:r>
              <w:rPr>
                <w:szCs w:val="21"/>
              </w:rPr>
              <w:t>管电压150kV</w:t>
            </w:r>
          </w:p>
          <w:p w14:paraId="228CBBC6">
            <w:pPr>
              <w:jc w:val="center"/>
              <w:rPr>
                <w:szCs w:val="21"/>
              </w:rPr>
            </w:pPr>
            <w:r>
              <w:rPr>
                <w:szCs w:val="21"/>
              </w:rPr>
              <w:t>管电流500mA</w:t>
            </w:r>
          </w:p>
        </w:tc>
        <w:tc>
          <w:tcPr>
            <w:tcW w:w="0" w:type="auto"/>
            <w:vAlign w:val="center"/>
          </w:tcPr>
          <w:p w14:paraId="0C0C54DA">
            <w:pPr>
              <w:jc w:val="center"/>
              <w:rPr>
                <w:szCs w:val="21"/>
              </w:rPr>
            </w:pPr>
            <w:r>
              <w:rPr>
                <w:szCs w:val="21"/>
              </w:rPr>
              <w:t>深圳 迈瑞</w:t>
            </w:r>
          </w:p>
        </w:tc>
      </w:tr>
      <w:tr w14:paraId="09F69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3" w:hRule="atLeast"/>
          <w:jc w:val="center"/>
        </w:trPr>
        <w:tc>
          <w:tcPr>
            <w:tcW w:w="0" w:type="auto"/>
            <w:vAlign w:val="center"/>
          </w:tcPr>
          <w:p w14:paraId="74A07720">
            <w:pPr>
              <w:widowControl/>
              <w:jc w:val="center"/>
              <w:textAlignment w:val="center"/>
              <w:rPr>
                <w:b/>
                <w:color w:val="000000"/>
                <w:kern w:val="0"/>
                <w:szCs w:val="21"/>
                <w:lang w:bidi="ar"/>
              </w:rPr>
            </w:pPr>
            <w:r>
              <w:rPr>
                <w:b/>
                <w:color w:val="000000"/>
                <w:kern w:val="0"/>
                <w:szCs w:val="21"/>
                <w:lang w:bidi="ar"/>
              </w:rPr>
              <w:t>41</w:t>
            </w:r>
          </w:p>
        </w:tc>
        <w:tc>
          <w:tcPr>
            <w:tcW w:w="0" w:type="auto"/>
            <w:vMerge w:val="continue"/>
            <w:vAlign w:val="center"/>
          </w:tcPr>
          <w:p w14:paraId="4B06F512">
            <w:pPr>
              <w:widowControl/>
              <w:jc w:val="center"/>
              <w:textAlignment w:val="center"/>
              <w:rPr>
                <w:color w:val="000000"/>
                <w:szCs w:val="21"/>
              </w:rPr>
            </w:pPr>
          </w:p>
        </w:tc>
        <w:tc>
          <w:tcPr>
            <w:tcW w:w="0" w:type="auto"/>
          </w:tcPr>
          <w:p w14:paraId="64F4837C">
            <w:pPr>
              <w:widowControl/>
              <w:jc w:val="center"/>
              <w:textAlignment w:val="center"/>
              <w:rPr>
                <w:color w:val="000000"/>
                <w:szCs w:val="21"/>
              </w:rPr>
            </w:pPr>
            <w:r>
              <w:rPr>
                <w:color w:val="000000"/>
                <w:szCs w:val="21"/>
              </w:rPr>
              <w:t>医用诊断X射线装置</w:t>
            </w:r>
          </w:p>
        </w:tc>
        <w:tc>
          <w:tcPr>
            <w:tcW w:w="0" w:type="auto"/>
          </w:tcPr>
          <w:p w14:paraId="136524FC">
            <w:pPr>
              <w:widowControl/>
              <w:jc w:val="center"/>
              <w:textAlignment w:val="center"/>
              <w:rPr>
                <w:color w:val="000000"/>
                <w:szCs w:val="21"/>
              </w:rPr>
            </w:pPr>
            <w:r>
              <w:rPr>
                <w:color w:val="000000"/>
                <w:szCs w:val="21"/>
              </w:rPr>
              <w:t>III类</w:t>
            </w:r>
          </w:p>
        </w:tc>
        <w:tc>
          <w:tcPr>
            <w:tcW w:w="0" w:type="auto"/>
            <w:vAlign w:val="center"/>
          </w:tcPr>
          <w:p w14:paraId="2A489178">
            <w:pPr>
              <w:widowControl/>
              <w:jc w:val="center"/>
              <w:textAlignment w:val="center"/>
              <w:rPr>
                <w:color w:val="000000"/>
                <w:kern w:val="0"/>
                <w:szCs w:val="21"/>
                <w:lang w:bidi="ar"/>
              </w:rPr>
            </w:pPr>
            <w:r>
              <w:rPr>
                <w:szCs w:val="21"/>
              </w:rPr>
              <w:t>使用</w:t>
            </w:r>
          </w:p>
        </w:tc>
        <w:tc>
          <w:tcPr>
            <w:tcW w:w="0" w:type="auto"/>
            <w:vAlign w:val="center"/>
          </w:tcPr>
          <w:p w14:paraId="3D016BBB">
            <w:pPr>
              <w:jc w:val="center"/>
              <w:rPr>
                <w:szCs w:val="21"/>
              </w:rPr>
            </w:pPr>
            <w:r>
              <w:rPr>
                <w:szCs w:val="21"/>
              </w:rPr>
              <w:t>1</w:t>
            </w:r>
          </w:p>
        </w:tc>
        <w:tc>
          <w:tcPr>
            <w:tcW w:w="0" w:type="auto"/>
            <w:vAlign w:val="center"/>
          </w:tcPr>
          <w:p w14:paraId="7A8EB52E">
            <w:pPr>
              <w:widowControl/>
              <w:jc w:val="center"/>
              <w:textAlignment w:val="center"/>
              <w:rPr>
                <w:color w:val="000000"/>
                <w:szCs w:val="21"/>
              </w:rPr>
            </w:pPr>
            <w:r>
              <w:rPr>
                <w:color w:val="000000"/>
                <w:szCs w:val="21"/>
              </w:rPr>
              <w:t>DR机</w:t>
            </w:r>
          </w:p>
        </w:tc>
        <w:tc>
          <w:tcPr>
            <w:tcW w:w="0" w:type="auto"/>
            <w:vAlign w:val="center"/>
          </w:tcPr>
          <w:p w14:paraId="4FC99428">
            <w:pPr>
              <w:widowControl/>
              <w:jc w:val="center"/>
              <w:textAlignment w:val="center"/>
              <w:rPr>
                <w:color w:val="000000"/>
                <w:szCs w:val="21"/>
              </w:rPr>
            </w:pPr>
            <w:r>
              <w:rPr>
                <w:color w:val="000000"/>
                <w:szCs w:val="21"/>
              </w:rPr>
              <w:t>DigitalDiagnostC90</w:t>
            </w:r>
          </w:p>
        </w:tc>
        <w:tc>
          <w:tcPr>
            <w:tcW w:w="0" w:type="auto"/>
            <w:vAlign w:val="center"/>
          </w:tcPr>
          <w:p w14:paraId="0345927C">
            <w:pPr>
              <w:widowControl/>
              <w:jc w:val="center"/>
              <w:textAlignment w:val="center"/>
              <w:rPr>
                <w:color w:val="000000"/>
                <w:szCs w:val="21"/>
              </w:rPr>
            </w:pPr>
            <w:r>
              <w:rPr>
                <w:color w:val="000000"/>
                <w:szCs w:val="21"/>
              </w:rPr>
              <w:t>220018</w:t>
            </w:r>
          </w:p>
        </w:tc>
        <w:tc>
          <w:tcPr>
            <w:tcW w:w="0" w:type="auto"/>
            <w:vAlign w:val="center"/>
          </w:tcPr>
          <w:p w14:paraId="1F114B42">
            <w:pPr>
              <w:jc w:val="center"/>
              <w:rPr>
                <w:szCs w:val="21"/>
              </w:rPr>
            </w:pPr>
            <w:r>
              <w:rPr>
                <w:szCs w:val="21"/>
              </w:rPr>
              <w:t>管电压150kV</w:t>
            </w:r>
          </w:p>
          <w:p w14:paraId="7580DCE5">
            <w:pPr>
              <w:widowControl/>
              <w:jc w:val="center"/>
              <w:textAlignment w:val="center"/>
              <w:rPr>
                <w:color w:val="000000"/>
                <w:szCs w:val="21"/>
              </w:rPr>
            </w:pPr>
            <w:r>
              <w:rPr>
                <w:szCs w:val="21"/>
              </w:rPr>
              <w:t>管电流1000mA</w:t>
            </w:r>
          </w:p>
        </w:tc>
        <w:tc>
          <w:tcPr>
            <w:tcW w:w="0" w:type="auto"/>
            <w:vAlign w:val="center"/>
          </w:tcPr>
          <w:p w14:paraId="6BA73DB1">
            <w:pPr>
              <w:widowControl/>
              <w:jc w:val="center"/>
              <w:textAlignment w:val="center"/>
              <w:rPr>
                <w:color w:val="000000"/>
                <w:szCs w:val="21"/>
              </w:rPr>
            </w:pPr>
            <w:r>
              <w:rPr>
                <w:color w:val="000000"/>
                <w:szCs w:val="21"/>
              </w:rPr>
              <w:t>飞利浦</w:t>
            </w:r>
          </w:p>
        </w:tc>
      </w:tr>
      <w:tr w14:paraId="61DA9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4EED9AF">
            <w:pPr>
              <w:widowControl/>
              <w:jc w:val="center"/>
              <w:textAlignment w:val="center"/>
              <w:rPr>
                <w:b/>
                <w:color w:val="000000"/>
                <w:kern w:val="0"/>
                <w:szCs w:val="21"/>
                <w:lang w:bidi="ar"/>
              </w:rPr>
            </w:pPr>
            <w:r>
              <w:rPr>
                <w:b/>
                <w:color w:val="000000"/>
                <w:kern w:val="0"/>
                <w:szCs w:val="21"/>
                <w:lang w:bidi="ar"/>
              </w:rPr>
              <w:t>42</w:t>
            </w:r>
          </w:p>
        </w:tc>
        <w:tc>
          <w:tcPr>
            <w:tcW w:w="0" w:type="auto"/>
            <w:vMerge w:val="continue"/>
            <w:vAlign w:val="center"/>
          </w:tcPr>
          <w:p w14:paraId="6A21E125">
            <w:pPr>
              <w:widowControl/>
              <w:jc w:val="center"/>
              <w:textAlignment w:val="center"/>
              <w:rPr>
                <w:color w:val="000000"/>
                <w:kern w:val="0"/>
                <w:szCs w:val="21"/>
                <w:lang w:bidi="ar"/>
              </w:rPr>
            </w:pPr>
          </w:p>
        </w:tc>
        <w:tc>
          <w:tcPr>
            <w:tcW w:w="0" w:type="auto"/>
            <w:vAlign w:val="center"/>
          </w:tcPr>
          <w:p w14:paraId="30C728BA">
            <w:pPr>
              <w:widowControl/>
              <w:jc w:val="center"/>
              <w:textAlignment w:val="center"/>
              <w:rPr>
                <w:color w:val="000000"/>
                <w:kern w:val="0"/>
                <w:szCs w:val="21"/>
                <w:lang w:bidi="ar"/>
              </w:rPr>
            </w:pPr>
            <w:r>
              <w:rPr>
                <w:color w:val="000000"/>
                <w:szCs w:val="21"/>
              </w:rPr>
              <w:t>医用X射线计算机断层扫描（CT）装置</w:t>
            </w:r>
          </w:p>
        </w:tc>
        <w:tc>
          <w:tcPr>
            <w:tcW w:w="0" w:type="auto"/>
          </w:tcPr>
          <w:p w14:paraId="63722AB4">
            <w:pPr>
              <w:widowControl/>
              <w:jc w:val="center"/>
              <w:textAlignment w:val="center"/>
              <w:rPr>
                <w:color w:val="000000"/>
                <w:kern w:val="0"/>
                <w:szCs w:val="21"/>
                <w:lang w:bidi="ar"/>
              </w:rPr>
            </w:pPr>
            <w:r>
              <w:rPr>
                <w:color w:val="000000"/>
                <w:szCs w:val="21"/>
              </w:rPr>
              <w:t>III类</w:t>
            </w:r>
          </w:p>
        </w:tc>
        <w:tc>
          <w:tcPr>
            <w:tcW w:w="0" w:type="auto"/>
            <w:vAlign w:val="center"/>
          </w:tcPr>
          <w:p w14:paraId="2DDD3201">
            <w:pPr>
              <w:widowControl/>
              <w:jc w:val="center"/>
              <w:textAlignment w:val="center"/>
              <w:rPr>
                <w:color w:val="000000"/>
                <w:kern w:val="0"/>
                <w:szCs w:val="21"/>
                <w:lang w:bidi="ar"/>
              </w:rPr>
            </w:pPr>
            <w:r>
              <w:rPr>
                <w:szCs w:val="21"/>
              </w:rPr>
              <w:t>使用</w:t>
            </w:r>
          </w:p>
        </w:tc>
        <w:tc>
          <w:tcPr>
            <w:tcW w:w="0" w:type="auto"/>
            <w:vAlign w:val="center"/>
          </w:tcPr>
          <w:p w14:paraId="19D41872">
            <w:pPr>
              <w:jc w:val="center"/>
              <w:rPr>
                <w:color w:val="000000"/>
                <w:szCs w:val="21"/>
              </w:rPr>
            </w:pPr>
            <w:r>
              <w:rPr>
                <w:szCs w:val="21"/>
              </w:rPr>
              <w:t>1</w:t>
            </w:r>
          </w:p>
        </w:tc>
        <w:tc>
          <w:tcPr>
            <w:tcW w:w="0" w:type="auto"/>
            <w:vAlign w:val="center"/>
          </w:tcPr>
          <w:p w14:paraId="78BA9D36">
            <w:pPr>
              <w:widowControl/>
              <w:jc w:val="center"/>
              <w:textAlignment w:val="center"/>
              <w:rPr>
                <w:color w:val="000000"/>
                <w:kern w:val="0"/>
                <w:szCs w:val="21"/>
                <w:lang w:bidi="ar"/>
              </w:rPr>
            </w:pPr>
            <w:r>
              <w:rPr>
                <w:color w:val="000000"/>
                <w:kern w:val="0"/>
                <w:szCs w:val="21"/>
                <w:lang w:bidi="ar"/>
              </w:rPr>
              <w:t>64排螺旋CT</w:t>
            </w:r>
          </w:p>
        </w:tc>
        <w:tc>
          <w:tcPr>
            <w:tcW w:w="0" w:type="auto"/>
            <w:vAlign w:val="center"/>
          </w:tcPr>
          <w:p w14:paraId="2A2E0B9E">
            <w:pPr>
              <w:widowControl/>
              <w:jc w:val="center"/>
              <w:textAlignment w:val="center"/>
              <w:rPr>
                <w:color w:val="000000"/>
                <w:kern w:val="0"/>
                <w:szCs w:val="21"/>
                <w:lang w:bidi="ar"/>
              </w:rPr>
            </w:pPr>
            <w:r>
              <w:rPr>
                <w:color w:val="000000"/>
                <w:kern w:val="0"/>
                <w:szCs w:val="21"/>
                <w:lang w:bidi="ar"/>
              </w:rPr>
              <w:t>Aquilion TSX-101A</w:t>
            </w:r>
          </w:p>
        </w:tc>
        <w:tc>
          <w:tcPr>
            <w:tcW w:w="0" w:type="auto"/>
            <w:vAlign w:val="center"/>
          </w:tcPr>
          <w:p w14:paraId="43806E8F">
            <w:pPr>
              <w:widowControl/>
              <w:jc w:val="center"/>
              <w:textAlignment w:val="center"/>
              <w:rPr>
                <w:color w:val="000000"/>
                <w:kern w:val="0"/>
                <w:szCs w:val="21"/>
                <w:lang w:bidi="ar"/>
              </w:rPr>
            </w:pPr>
            <w:r>
              <w:rPr>
                <w:color w:val="000000"/>
                <w:kern w:val="0"/>
                <w:szCs w:val="21"/>
                <w:lang w:bidi="ar"/>
              </w:rPr>
              <w:t>NEA1162353</w:t>
            </w:r>
          </w:p>
        </w:tc>
        <w:tc>
          <w:tcPr>
            <w:tcW w:w="0" w:type="auto"/>
            <w:vAlign w:val="center"/>
          </w:tcPr>
          <w:p w14:paraId="311E4CB3">
            <w:pPr>
              <w:jc w:val="center"/>
              <w:rPr>
                <w:szCs w:val="21"/>
              </w:rPr>
            </w:pPr>
            <w:r>
              <w:rPr>
                <w:szCs w:val="21"/>
              </w:rPr>
              <w:t>管电压135kV</w:t>
            </w:r>
          </w:p>
          <w:p w14:paraId="72714651">
            <w:pPr>
              <w:widowControl/>
              <w:jc w:val="center"/>
              <w:textAlignment w:val="center"/>
              <w:rPr>
                <w:color w:val="000000"/>
                <w:kern w:val="0"/>
                <w:szCs w:val="21"/>
                <w:lang w:bidi="ar"/>
              </w:rPr>
            </w:pPr>
            <w:r>
              <w:rPr>
                <w:szCs w:val="21"/>
              </w:rPr>
              <w:t>管电流500mA</w:t>
            </w:r>
          </w:p>
        </w:tc>
        <w:tc>
          <w:tcPr>
            <w:tcW w:w="0" w:type="auto"/>
            <w:vAlign w:val="center"/>
          </w:tcPr>
          <w:p w14:paraId="7EA382B7">
            <w:pPr>
              <w:widowControl/>
              <w:jc w:val="center"/>
              <w:textAlignment w:val="center"/>
              <w:rPr>
                <w:color w:val="000000"/>
                <w:kern w:val="0"/>
                <w:szCs w:val="21"/>
                <w:lang w:bidi="ar"/>
              </w:rPr>
            </w:pPr>
            <w:r>
              <w:rPr>
                <w:color w:val="000000"/>
                <w:kern w:val="0"/>
                <w:szCs w:val="21"/>
                <w:lang w:bidi="ar"/>
              </w:rPr>
              <w:t>东芝</w:t>
            </w:r>
          </w:p>
        </w:tc>
      </w:tr>
      <w:tr w14:paraId="4B3D0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1A28711F">
            <w:pPr>
              <w:widowControl/>
              <w:jc w:val="center"/>
              <w:textAlignment w:val="center"/>
              <w:rPr>
                <w:b/>
                <w:color w:val="000000"/>
                <w:kern w:val="0"/>
                <w:szCs w:val="21"/>
                <w:lang w:bidi="ar"/>
              </w:rPr>
            </w:pPr>
            <w:r>
              <w:rPr>
                <w:b/>
                <w:color w:val="000000"/>
                <w:kern w:val="0"/>
                <w:szCs w:val="21"/>
                <w:lang w:bidi="ar"/>
              </w:rPr>
              <w:t>43</w:t>
            </w:r>
          </w:p>
        </w:tc>
        <w:tc>
          <w:tcPr>
            <w:tcW w:w="0" w:type="auto"/>
            <w:vMerge w:val="continue"/>
            <w:vAlign w:val="center"/>
          </w:tcPr>
          <w:p w14:paraId="1C886344">
            <w:pPr>
              <w:widowControl/>
              <w:jc w:val="center"/>
              <w:textAlignment w:val="center"/>
              <w:rPr>
                <w:color w:val="000000"/>
                <w:szCs w:val="21"/>
              </w:rPr>
            </w:pPr>
          </w:p>
        </w:tc>
        <w:tc>
          <w:tcPr>
            <w:tcW w:w="0" w:type="auto"/>
            <w:vAlign w:val="center"/>
          </w:tcPr>
          <w:p w14:paraId="3754F99A">
            <w:pPr>
              <w:widowControl/>
              <w:jc w:val="center"/>
              <w:textAlignment w:val="center"/>
              <w:rPr>
                <w:color w:val="000000"/>
                <w:szCs w:val="21"/>
              </w:rPr>
            </w:pPr>
            <w:r>
              <w:rPr>
                <w:color w:val="000000"/>
                <w:szCs w:val="21"/>
              </w:rPr>
              <w:t>血管造影用X射线装置</w:t>
            </w:r>
          </w:p>
        </w:tc>
        <w:tc>
          <w:tcPr>
            <w:tcW w:w="0" w:type="auto"/>
          </w:tcPr>
          <w:p w14:paraId="51F850E0">
            <w:pPr>
              <w:widowControl/>
              <w:jc w:val="center"/>
              <w:textAlignment w:val="center"/>
              <w:rPr>
                <w:color w:val="000000"/>
                <w:szCs w:val="21"/>
              </w:rPr>
            </w:pPr>
            <w:r>
              <w:rPr>
                <w:color w:val="000000"/>
                <w:szCs w:val="21"/>
              </w:rPr>
              <w:t>II类</w:t>
            </w:r>
          </w:p>
        </w:tc>
        <w:tc>
          <w:tcPr>
            <w:tcW w:w="0" w:type="auto"/>
            <w:vAlign w:val="center"/>
          </w:tcPr>
          <w:p w14:paraId="3E43899A">
            <w:pPr>
              <w:widowControl/>
              <w:jc w:val="center"/>
              <w:textAlignment w:val="center"/>
              <w:rPr>
                <w:color w:val="000000"/>
                <w:kern w:val="0"/>
                <w:szCs w:val="21"/>
                <w:lang w:bidi="ar"/>
              </w:rPr>
            </w:pPr>
            <w:r>
              <w:rPr>
                <w:szCs w:val="21"/>
              </w:rPr>
              <w:t>使用</w:t>
            </w:r>
          </w:p>
        </w:tc>
        <w:tc>
          <w:tcPr>
            <w:tcW w:w="0" w:type="auto"/>
            <w:vAlign w:val="center"/>
          </w:tcPr>
          <w:p w14:paraId="4002A5D2">
            <w:pPr>
              <w:jc w:val="center"/>
              <w:rPr>
                <w:szCs w:val="21"/>
              </w:rPr>
            </w:pPr>
            <w:r>
              <w:rPr>
                <w:szCs w:val="21"/>
              </w:rPr>
              <w:t>1</w:t>
            </w:r>
          </w:p>
        </w:tc>
        <w:tc>
          <w:tcPr>
            <w:tcW w:w="0" w:type="auto"/>
            <w:vAlign w:val="center"/>
          </w:tcPr>
          <w:p w14:paraId="40A05111">
            <w:pPr>
              <w:widowControl/>
              <w:jc w:val="center"/>
              <w:textAlignment w:val="center"/>
              <w:rPr>
                <w:color w:val="000000"/>
                <w:szCs w:val="21"/>
              </w:rPr>
            </w:pPr>
            <w:r>
              <w:rPr>
                <w:color w:val="000000"/>
                <w:szCs w:val="21"/>
              </w:rPr>
              <w:t>DSA机</w:t>
            </w:r>
          </w:p>
        </w:tc>
        <w:tc>
          <w:tcPr>
            <w:tcW w:w="0" w:type="auto"/>
            <w:vAlign w:val="center"/>
          </w:tcPr>
          <w:p w14:paraId="6152C29B">
            <w:pPr>
              <w:widowControl/>
              <w:jc w:val="center"/>
              <w:textAlignment w:val="center"/>
              <w:rPr>
                <w:color w:val="000000"/>
                <w:szCs w:val="21"/>
              </w:rPr>
            </w:pPr>
            <w:r>
              <w:rPr>
                <w:color w:val="000000"/>
                <w:szCs w:val="21"/>
              </w:rPr>
              <w:t>TOSHIBA Infinix-I-INFX-800V</w:t>
            </w:r>
          </w:p>
        </w:tc>
        <w:tc>
          <w:tcPr>
            <w:tcW w:w="0" w:type="auto"/>
            <w:vAlign w:val="center"/>
          </w:tcPr>
          <w:p w14:paraId="3F008E73">
            <w:pPr>
              <w:widowControl/>
              <w:jc w:val="center"/>
              <w:textAlignment w:val="center"/>
              <w:rPr>
                <w:color w:val="000000"/>
                <w:kern w:val="0"/>
                <w:szCs w:val="21"/>
                <w:lang w:bidi="ar"/>
              </w:rPr>
            </w:pPr>
            <w:r>
              <w:rPr>
                <w:color w:val="000000"/>
                <w:kern w:val="0"/>
                <w:szCs w:val="21"/>
                <w:lang w:bidi="ar"/>
              </w:rPr>
              <w:t>CLA1322002</w:t>
            </w:r>
          </w:p>
        </w:tc>
        <w:tc>
          <w:tcPr>
            <w:tcW w:w="0" w:type="auto"/>
            <w:vAlign w:val="center"/>
          </w:tcPr>
          <w:p w14:paraId="136598F6">
            <w:pPr>
              <w:jc w:val="center"/>
              <w:rPr>
                <w:szCs w:val="21"/>
              </w:rPr>
            </w:pPr>
            <w:r>
              <w:rPr>
                <w:szCs w:val="21"/>
              </w:rPr>
              <w:t>管电压125kV</w:t>
            </w:r>
          </w:p>
          <w:p w14:paraId="3BA9DE46">
            <w:pPr>
              <w:widowControl/>
              <w:jc w:val="center"/>
              <w:textAlignment w:val="center"/>
              <w:rPr>
                <w:color w:val="000000"/>
                <w:kern w:val="0"/>
                <w:szCs w:val="21"/>
                <w:lang w:bidi="ar"/>
              </w:rPr>
            </w:pPr>
            <w:r>
              <w:rPr>
                <w:szCs w:val="21"/>
              </w:rPr>
              <w:t>管电流1000mA</w:t>
            </w:r>
          </w:p>
        </w:tc>
        <w:tc>
          <w:tcPr>
            <w:tcW w:w="0" w:type="auto"/>
            <w:vAlign w:val="center"/>
          </w:tcPr>
          <w:p w14:paraId="7EC0F326">
            <w:pPr>
              <w:widowControl/>
              <w:jc w:val="center"/>
              <w:textAlignment w:val="center"/>
              <w:rPr>
                <w:color w:val="000000"/>
                <w:kern w:val="0"/>
                <w:szCs w:val="21"/>
                <w:lang w:bidi="ar"/>
              </w:rPr>
            </w:pPr>
            <w:r>
              <w:rPr>
                <w:color w:val="000000"/>
                <w:kern w:val="0"/>
                <w:szCs w:val="21"/>
                <w:lang w:bidi="ar"/>
              </w:rPr>
              <w:t>日本 东芝</w:t>
            </w:r>
          </w:p>
        </w:tc>
      </w:tr>
      <w:tr w14:paraId="11B71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7EB081E2">
            <w:pPr>
              <w:widowControl/>
              <w:jc w:val="center"/>
              <w:textAlignment w:val="center"/>
              <w:rPr>
                <w:b/>
                <w:color w:val="000000"/>
                <w:kern w:val="0"/>
                <w:szCs w:val="21"/>
                <w:lang w:bidi="ar"/>
              </w:rPr>
            </w:pPr>
            <w:r>
              <w:rPr>
                <w:b/>
                <w:color w:val="000000"/>
                <w:kern w:val="0"/>
                <w:szCs w:val="21"/>
                <w:lang w:bidi="ar"/>
              </w:rPr>
              <w:t>44</w:t>
            </w:r>
          </w:p>
        </w:tc>
        <w:tc>
          <w:tcPr>
            <w:tcW w:w="0" w:type="auto"/>
            <w:vAlign w:val="center"/>
          </w:tcPr>
          <w:p w14:paraId="5473AA72">
            <w:pPr>
              <w:widowControl/>
              <w:jc w:val="center"/>
              <w:textAlignment w:val="center"/>
              <w:rPr>
                <w:color w:val="000000"/>
                <w:szCs w:val="21"/>
              </w:rPr>
            </w:pPr>
            <w:r>
              <w:rPr>
                <w:color w:val="000000"/>
                <w:szCs w:val="21"/>
              </w:rPr>
              <w:t>萝岗院区综合楼3楼胃镜中心</w:t>
            </w:r>
          </w:p>
        </w:tc>
        <w:tc>
          <w:tcPr>
            <w:tcW w:w="0" w:type="auto"/>
            <w:vAlign w:val="center"/>
          </w:tcPr>
          <w:p w14:paraId="745EAE41">
            <w:pPr>
              <w:widowControl/>
              <w:jc w:val="center"/>
              <w:textAlignment w:val="center"/>
              <w:rPr>
                <w:color w:val="000000"/>
                <w:szCs w:val="21"/>
              </w:rPr>
            </w:pPr>
            <w:r>
              <w:rPr>
                <w:color w:val="000000"/>
                <w:szCs w:val="21"/>
              </w:rPr>
              <w:t>医用诊断X射线装置</w:t>
            </w:r>
          </w:p>
        </w:tc>
        <w:tc>
          <w:tcPr>
            <w:tcW w:w="0" w:type="auto"/>
          </w:tcPr>
          <w:p w14:paraId="6F4FE175">
            <w:pPr>
              <w:widowControl/>
              <w:jc w:val="center"/>
              <w:textAlignment w:val="center"/>
              <w:rPr>
                <w:color w:val="000000"/>
                <w:szCs w:val="21"/>
              </w:rPr>
            </w:pPr>
            <w:r>
              <w:rPr>
                <w:color w:val="000000"/>
                <w:szCs w:val="21"/>
              </w:rPr>
              <w:t>III类</w:t>
            </w:r>
          </w:p>
        </w:tc>
        <w:tc>
          <w:tcPr>
            <w:tcW w:w="0" w:type="auto"/>
            <w:vAlign w:val="center"/>
          </w:tcPr>
          <w:p w14:paraId="66892A6E">
            <w:pPr>
              <w:widowControl/>
              <w:jc w:val="center"/>
              <w:textAlignment w:val="center"/>
              <w:rPr>
                <w:color w:val="000000"/>
                <w:kern w:val="0"/>
                <w:szCs w:val="21"/>
                <w:lang w:bidi="ar"/>
              </w:rPr>
            </w:pPr>
            <w:r>
              <w:rPr>
                <w:szCs w:val="21"/>
              </w:rPr>
              <w:t>使用</w:t>
            </w:r>
          </w:p>
        </w:tc>
        <w:tc>
          <w:tcPr>
            <w:tcW w:w="0" w:type="auto"/>
            <w:vAlign w:val="center"/>
          </w:tcPr>
          <w:p w14:paraId="372DB193">
            <w:pPr>
              <w:jc w:val="center"/>
              <w:rPr>
                <w:szCs w:val="21"/>
              </w:rPr>
            </w:pPr>
            <w:r>
              <w:rPr>
                <w:szCs w:val="21"/>
              </w:rPr>
              <w:t>1</w:t>
            </w:r>
          </w:p>
        </w:tc>
        <w:tc>
          <w:tcPr>
            <w:tcW w:w="0" w:type="auto"/>
            <w:vAlign w:val="center"/>
          </w:tcPr>
          <w:p w14:paraId="6F0238A7">
            <w:pPr>
              <w:widowControl/>
              <w:jc w:val="center"/>
              <w:textAlignment w:val="center"/>
              <w:rPr>
                <w:color w:val="000000"/>
                <w:szCs w:val="21"/>
              </w:rPr>
            </w:pPr>
            <w:r>
              <w:rPr>
                <w:color w:val="000000"/>
                <w:szCs w:val="21"/>
              </w:rPr>
              <w:t>移动C臂机</w:t>
            </w:r>
          </w:p>
        </w:tc>
        <w:tc>
          <w:tcPr>
            <w:tcW w:w="0" w:type="auto"/>
            <w:vAlign w:val="center"/>
          </w:tcPr>
          <w:p w14:paraId="43446038">
            <w:pPr>
              <w:widowControl/>
              <w:jc w:val="center"/>
              <w:textAlignment w:val="center"/>
              <w:rPr>
                <w:color w:val="000000"/>
                <w:szCs w:val="21"/>
              </w:rPr>
            </w:pPr>
            <w:r>
              <w:rPr>
                <w:color w:val="000000"/>
                <w:szCs w:val="21"/>
              </w:rPr>
              <w:t>GE OEC Elite CFDx型</w:t>
            </w:r>
          </w:p>
        </w:tc>
        <w:tc>
          <w:tcPr>
            <w:tcW w:w="0" w:type="auto"/>
            <w:vAlign w:val="center"/>
          </w:tcPr>
          <w:p w14:paraId="312C206F">
            <w:pPr>
              <w:widowControl/>
              <w:jc w:val="center"/>
              <w:textAlignment w:val="center"/>
              <w:rPr>
                <w:color w:val="000000"/>
                <w:kern w:val="0"/>
                <w:szCs w:val="21"/>
                <w:lang w:bidi="ar"/>
              </w:rPr>
            </w:pPr>
            <w:r>
              <w:rPr>
                <w:color w:val="000000"/>
                <w:kern w:val="0"/>
                <w:szCs w:val="21"/>
                <w:lang w:bidi="ar"/>
              </w:rPr>
              <w:t>BB7SH2300003HL</w:t>
            </w:r>
          </w:p>
        </w:tc>
        <w:tc>
          <w:tcPr>
            <w:tcW w:w="0" w:type="auto"/>
            <w:vAlign w:val="center"/>
          </w:tcPr>
          <w:p w14:paraId="04E4FEDF">
            <w:pPr>
              <w:jc w:val="center"/>
              <w:rPr>
                <w:szCs w:val="21"/>
              </w:rPr>
            </w:pPr>
            <w:r>
              <w:rPr>
                <w:szCs w:val="21"/>
              </w:rPr>
              <w:t>管电压120kV</w:t>
            </w:r>
          </w:p>
          <w:p w14:paraId="60125B7F">
            <w:pPr>
              <w:widowControl/>
              <w:jc w:val="center"/>
              <w:textAlignment w:val="center"/>
              <w:rPr>
                <w:color w:val="000000"/>
                <w:kern w:val="0"/>
                <w:szCs w:val="21"/>
                <w:lang w:bidi="ar"/>
              </w:rPr>
            </w:pPr>
            <w:r>
              <w:rPr>
                <w:szCs w:val="21"/>
              </w:rPr>
              <w:t>管电流75mA</w:t>
            </w:r>
          </w:p>
        </w:tc>
        <w:tc>
          <w:tcPr>
            <w:tcW w:w="0" w:type="auto"/>
            <w:vAlign w:val="center"/>
          </w:tcPr>
          <w:p w14:paraId="3B4CF09A">
            <w:pPr>
              <w:widowControl/>
              <w:jc w:val="center"/>
              <w:textAlignment w:val="center"/>
              <w:rPr>
                <w:color w:val="000000"/>
                <w:kern w:val="0"/>
                <w:szCs w:val="21"/>
                <w:lang w:bidi="ar"/>
              </w:rPr>
            </w:pPr>
            <w:r>
              <w:rPr>
                <w:color w:val="000000"/>
                <w:kern w:val="0"/>
                <w:szCs w:val="21"/>
                <w:lang w:bidi="ar"/>
              </w:rPr>
              <w:t>北京通用电气华伦医疗设备有限公司</w:t>
            </w:r>
          </w:p>
        </w:tc>
      </w:tr>
      <w:tr w14:paraId="27169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384C41B6">
            <w:pPr>
              <w:widowControl/>
              <w:jc w:val="center"/>
              <w:textAlignment w:val="center"/>
              <w:rPr>
                <w:b/>
                <w:color w:val="000000"/>
                <w:kern w:val="0"/>
                <w:szCs w:val="21"/>
                <w:lang w:bidi="ar"/>
              </w:rPr>
            </w:pPr>
            <w:r>
              <w:rPr>
                <w:b/>
                <w:color w:val="000000"/>
                <w:kern w:val="0"/>
                <w:szCs w:val="21"/>
                <w:lang w:bidi="ar"/>
              </w:rPr>
              <w:t>45</w:t>
            </w:r>
          </w:p>
        </w:tc>
        <w:tc>
          <w:tcPr>
            <w:tcW w:w="0" w:type="auto"/>
            <w:vMerge w:val="restart"/>
            <w:vAlign w:val="center"/>
          </w:tcPr>
          <w:p w14:paraId="6081AF78">
            <w:pPr>
              <w:widowControl/>
              <w:jc w:val="center"/>
              <w:textAlignment w:val="center"/>
              <w:rPr>
                <w:color w:val="000000"/>
                <w:kern w:val="0"/>
                <w:szCs w:val="21"/>
                <w:lang w:bidi="ar"/>
              </w:rPr>
            </w:pPr>
            <w:r>
              <w:rPr>
                <w:color w:val="000000"/>
                <w:kern w:val="0"/>
                <w:szCs w:val="21"/>
                <w:lang w:bidi="ar"/>
              </w:rPr>
              <w:t>萝岗院区综合楼4楼口腔科</w:t>
            </w:r>
          </w:p>
        </w:tc>
        <w:tc>
          <w:tcPr>
            <w:tcW w:w="0" w:type="auto"/>
            <w:vAlign w:val="center"/>
          </w:tcPr>
          <w:p w14:paraId="6A356BF4">
            <w:pPr>
              <w:widowControl/>
              <w:jc w:val="center"/>
              <w:textAlignment w:val="center"/>
              <w:rPr>
                <w:color w:val="000000"/>
                <w:kern w:val="0"/>
                <w:szCs w:val="21"/>
                <w:lang w:bidi="ar"/>
              </w:rPr>
            </w:pPr>
            <w:r>
              <w:rPr>
                <w:color w:val="000000"/>
                <w:kern w:val="0"/>
                <w:szCs w:val="21"/>
                <w:lang w:bidi="ar"/>
              </w:rPr>
              <w:t>口腔（牙科）X射线装置</w:t>
            </w:r>
          </w:p>
        </w:tc>
        <w:tc>
          <w:tcPr>
            <w:tcW w:w="0" w:type="auto"/>
          </w:tcPr>
          <w:p w14:paraId="1E7B55EC">
            <w:pPr>
              <w:widowControl/>
              <w:jc w:val="center"/>
              <w:textAlignment w:val="center"/>
              <w:rPr>
                <w:color w:val="000000"/>
                <w:kern w:val="0"/>
                <w:szCs w:val="21"/>
                <w:lang w:bidi="ar"/>
              </w:rPr>
            </w:pPr>
            <w:r>
              <w:rPr>
                <w:color w:val="000000"/>
                <w:szCs w:val="21"/>
              </w:rPr>
              <w:t>III类</w:t>
            </w:r>
          </w:p>
        </w:tc>
        <w:tc>
          <w:tcPr>
            <w:tcW w:w="0" w:type="auto"/>
            <w:vAlign w:val="center"/>
          </w:tcPr>
          <w:p w14:paraId="7C9BEFE2">
            <w:pPr>
              <w:widowControl/>
              <w:jc w:val="center"/>
              <w:textAlignment w:val="center"/>
              <w:rPr>
                <w:color w:val="000000"/>
                <w:kern w:val="0"/>
                <w:szCs w:val="21"/>
                <w:lang w:bidi="ar"/>
              </w:rPr>
            </w:pPr>
            <w:r>
              <w:rPr>
                <w:szCs w:val="21"/>
              </w:rPr>
              <w:t>使用</w:t>
            </w:r>
          </w:p>
        </w:tc>
        <w:tc>
          <w:tcPr>
            <w:tcW w:w="0" w:type="auto"/>
            <w:vAlign w:val="center"/>
          </w:tcPr>
          <w:p w14:paraId="054EB74D">
            <w:pPr>
              <w:jc w:val="center"/>
              <w:rPr>
                <w:color w:val="000000"/>
                <w:kern w:val="0"/>
                <w:szCs w:val="21"/>
                <w:lang w:bidi="ar"/>
              </w:rPr>
            </w:pPr>
            <w:r>
              <w:rPr>
                <w:szCs w:val="21"/>
              </w:rPr>
              <w:t>1</w:t>
            </w:r>
          </w:p>
        </w:tc>
        <w:tc>
          <w:tcPr>
            <w:tcW w:w="0" w:type="auto"/>
            <w:vAlign w:val="center"/>
          </w:tcPr>
          <w:p w14:paraId="37DAC4BD">
            <w:pPr>
              <w:widowControl/>
              <w:jc w:val="center"/>
              <w:textAlignment w:val="center"/>
              <w:rPr>
                <w:color w:val="000000"/>
                <w:kern w:val="0"/>
                <w:szCs w:val="21"/>
                <w:lang w:bidi="ar"/>
              </w:rPr>
            </w:pPr>
            <w:r>
              <w:rPr>
                <w:color w:val="000000"/>
                <w:kern w:val="0"/>
                <w:szCs w:val="21"/>
                <w:lang w:bidi="ar"/>
              </w:rPr>
              <w:t>牙科CBCT机</w:t>
            </w:r>
          </w:p>
        </w:tc>
        <w:tc>
          <w:tcPr>
            <w:tcW w:w="0" w:type="auto"/>
            <w:vAlign w:val="center"/>
          </w:tcPr>
          <w:p w14:paraId="5EBA503D">
            <w:pPr>
              <w:widowControl/>
              <w:jc w:val="center"/>
              <w:textAlignment w:val="center"/>
              <w:rPr>
                <w:color w:val="000000"/>
                <w:kern w:val="0"/>
                <w:szCs w:val="21"/>
                <w:lang w:bidi="ar"/>
              </w:rPr>
            </w:pPr>
            <w:r>
              <w:rPr>
                <w:color w:val="000000"/>
                <w:kern w:val="0"/>
                <w:szCs w:val="21"/>
                <w:lang w:bidi="ar"/>
              </w:rPr>
              <w:t>CS 8200 3D</w:t>
            </w:r>
          </w:p>
        </w:tc>
        <w:tc>
          <w:tcPr>
            <w:tcW w:w="0" w:type="auto"/>
            <w:vAlign w:val="center"/>
          </w:tcPr>
          <w:p w14:paraId="2CA51C3D">
            <w:pPr>
              <w:widowControl/>
              <w:jc w:val="center"/>
              <w:textAlignment w:val="center"/>
              <w:rPr>
                <w:color w:val="000000"/>
                <w:kern w:val="0"/>
                <w:szCs w:val="21"/>
                <w:lang w:bidi="ar"/>
              </w:rPr>
            </w:pPr>
            <w:r>
              <w:rPr>
                <w:color w:val="000000"/>
                <w:kern w:val="0"/>
                <w:szCs w:val="21"/>
                <w:lang w:bidi="ar"/>
              </w:rPr>
              <w:t>KIIL914</w:t>
            </w:r>
          </w:p>
        </w:tc>
        <w:tc>
          <w:tcPr>
            <w:tcW w:w="0" w:type="auto"/>
            <w:vAlign w:val="center"/>
          </w:tcPr>
          <w:p w14:paraId="55390F19">
            <w:pPr>
              <w:jc w:val="center"/>
              <w:rPr>
                <w:szCs w:val="21"/>
              </w:rPr>
            </w:pPr>
            <w:r>
              <w:rPr>
                <w:szCs w:val="21"/>
              </w:rPr>
              <w:t>管电压90kV</w:t>
            </w:r>
          </w:p>
          <w:p w14:paraId="0905221A">
            <w:pPr>
              <w:widowControl/>
              <w:jc w:val="center"/>
              <w:textAlignment w:val="center"/>
              <w:rPr>
                <w:color w:val="000000"/>
                <w:kern w:val="0"/>
                <w:szCs w:val="21"/>
                <w:lang w:bidi="ar"/>
              </w:rPr>
            </w:pPr>
            <w:r>
              <w:rPr>
                <w:szCs w:val="21"/>
              </w:rPr>
              <w:t>管电流15mA</w:t>
            </w:r>
          </w:p>
        </w:tc>
        <w:tc>
          <w:tcPr>
            <w:tcW w:w="0" w:type="auto"/>
            <w:vAlign w:val="center"/>
          </w:tcPr>
          <w:p w14:paraId="24FA0821">
            <w:pPr>
              <w:widowControl/>
              <w:jc w:val="center"/>
              <w:textAlignment w:val="center"/>
              <w:rPr>
                <w:color w:val="000000"/>
                <w:kern w:val="0"/>
                <w:szCs w:val="21"/>
                <w:lang w:bidi="ar"/>
              </w:rPr>
            </w:pPr>
            <w:r>
              <w:rPr>
                <w:color w:val="000000"/>
                <w:kern w:val="0"/>
                <w:szCs w:val="21"/>
                <w:lang w:bidi="ar"/>
              </w:rPr>
              <w:t>锐珂</w:t>
            </w:r>
          </w:p>
        </w:tc>
      </w:tr>
      <w:tr w14:paraId="722A7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2857933B">
            <w:pPr>
              <w:widowControl/>
              <w:jc w:val="center"/>
              <w:textAlignment w:val="center"/>
              <w:rPr>
                <w:b/>
                <w:color w:val="000000"/>
                <w:kern w:val="0"/>
                <w:szCs w:val="21"/>
                <w:lang w:bidi="ar"/>
              </w:rPr>
            </w:pPr>
            <w:r>
              <w:rPr>
                <w:b/>
                <w:color w:val="000000"/>
                <w:kern w:val="0"/>
                <w:szCs w:val="21"/>
                <w:lang w:bidi="ar"/>
              </w:rPr>
              <w:t>46</w:t>
            </w:r>
          </w:p>
        </w:tc>
        <w:tc>
          <w:tcPr>
            <w:tcW w:w="0" w:type="auto"/>
            <w:vMerge w:val="continue"/>
            <w:vAlign w:val="center"/>
          </w:tcPr>
          <w:p w14:paraId="42B80398">
            <w:pPr>
              <w:widowControl/>
              <w:jc w:val="center"/>
              <w:textAlignment w:val="center"/>
              <w:rPr>
                <w:color w:val="000000"/>
                <w:kern w:val="0"/>
                <w:szCs w:val="21"/>
                <w:lang w:bidi="ar"/>
              </w:rPr>
            </w:pPr>
          </w:p>
        </w:tc>
        <w:tc>
          <w:tcPr>
            <w:tcW w:w="0" w:type="auto"/>
          </w:tcPr>
          <w:p w14:paraId="286EAACC">
            <w:pPr>
              <w:widowControl/>
              <w:jc w:val="center"/>
              <w:textAlignment w:val="center"/>
              <w:rPr>
                <w:color w:val="000000"/>
                <w:kern w:val="0"/>
                <w:szCs w:val="21"/>
                <w:lang w:bidi="ar"/>
              </w:rPr>
            </w:pPr>
            <w:r>
              <w:rPr>
                <w:color w:val="000000"/>
                <w:kern w:val="0"/>
                <w:szCs w:val="21"/>
                <w:lang w:bidi="ar"/>
              </w:rPr>
              <w:t>口腔（牙科）X射线装置</w:t>
            </w:r>
          </w:p>
        </w:tc>
        <w:tc>
          <w:tcPr>
            <w:tcW w:w="0" w:type="auto"/>
          </w:tcPr>
          <w:p w14:paraId="389B2003">
            <w:pPr>
              <w:widowControl/>
              <w:jc w:val="center"/>
              <w:textAlignment w:val="center"/>
              <w:rPr>
                <w:color w:val="000000"/>
                <w:kern w:val="0"/>
                <w:szCs w:val="21"/>
                <w:lang w:bidi="ar"/>
              </w:rPr>
            </w:pPr>
            <w:r>
              <w:rPr>
                <w:color w:val="000000"/>
                <w:szCs w:val="21"/>
              </w:rPr>
              <w:t>III类</w:t>
            </w:r>
          </w:p>
        </w:tc>
        <w:tc>
          <w:tcPr>
            <w:tcW w:w="0" w:type="auto"/>
            <w:vAlign w:val="center"/>
          </w:tcPr>
          <w:p w14:paraId="3227ED01">
            <w:pPr>
              <w:widowControl/>
              <w:jc w:val="center"/>
              <w:textAlignment w:val="center"/>
              <w:rPr>
                <w:color w:val="000000"/>
                <w:kern w:val="0"/>
                <w:szCs w:val="21"/>
                <w:lang w:bidi="ar"/>
              </w:rPr>
            </w:pPr>
            <w:r>
              <w:rPr>
                <w:szCs w:val="21"/>
              </w:rPr>
              <w:t>使用</w:t>
            </w:r>
          </w:p>
        </w:tc>
        <w:tc>
          <w:tcPr>
            <w:tcW w:w="0" w:type="auto"/>
            <w:vAlign w:val="center"/>
          </w:tcPr>
          <w:p w14:paraId="40BC1801">
            <w:pPr>
              <w:jc w:val="center"/>
              <w:rPr>
                <w:color w:val="000000"/>
                <w:kern w:val="0"/>
                <w:szCs w:val="21"/>
                <w:lang w:bidi="ar"/>
              </w:rPr>
            </w:pPr>
            <w:r>
              <w:rPr>
                <w:szCs w:val="21"/>
              </w:rPr>
              <w:t>1</w:t>
            </w:r>
          </w:p>
        </w:tc>
        <w:tc>
          <w:tcPr>
            <w:tcW w:w="0" w:type="auto"/>
            <w:vAlign w:val="center"/>
          </w:tcPr>
          <w:p w14:paraId="0AF1B3A3">
            <w:pPr>
              <w:widowControl/>
              <w:jc w:val="center"/>
              <w:textAlignment w:val="center"/>
              <w:rPr>
                <w:color w:val="000000"/>
                <w:kern w:val="0"/>
                <w:szCs w:val="21"/>
                <w:lang w:bidi="ar"/>
              </w:rPr>
            </w:pPr>
            <w:r>
              <w:rPr>
                <w:color w:val="000000"/>
                <w:kern w:val="0"/>
                <w:szCs w:val="21"/>
                <w:lang w:bidi="ar"/>
              </w:rPr>
              <w:t>牙片机</w:t>
            </w:r>
          </w:p>
        </w:tc>
        <w:tc>
          <w:tcPr>
            <w:tcW w:w="0" w:type="auto"/>
            <w:vAlign w:val="center"/>
          </w:tcPr>
          <w:p w14:paraId="75851C73">
            <w:pPr>
              <w:widowControl/>
              <w:jc w:val="center"/>
              <w:textAlignment w:val="center"/>
              <w:rPr>
                <w:color w:val="000000"/>
                <w:kern w:val="0"/>
                <w:szCs w:val="21"/>
                <w:lang w:bidi="ar"/>
              </w:rPr>
            </w:pPr>
            <w:r>
              <w:rPr>
                <w:color w:val="000000"/>
                <w:kern w:val="0"/>
                <w:szCs w:val="21"/>
                <w:lang w:bidi="ar"/>
              </w:rPr>
              <w:t>Heliodent Plus D3507</w:t>
            </w:r>
          </w:p>
        </w:tc>
        <w:tc>
          <w:tcPr>
            <w:tcW w:w="0" w:type="auto"/>
            <w:vAlign w:val="center"/>
          </w:tcPr>
          <w:p w14:paraId="0EA15660">
            <w:pPr>
              <w:widowControl/>
              <w:jc w:val="center"/>
              <w:textAlignment w:val="center"/>
              <w:rPr>
                <w:color w:val="000000"/>
                <w:kern w:val="0"/>
                <w:szCs w:val="21"/>
                <w:lang w:bidi="ar"/>
              </w:rPr>
            </w:pPr>
            <w:r>
              <w:rPr>
                <w:color w:val="000000"/>
                <w:kern w:val="0"/>
                <w:szCs w:val="21"/>
                <w:lang w:bidi="ar"/>
              </w:rPr>
              <w:t>4817</w:t>
            </w:r>
          </w:p>
        </w:tc>
        <w:tc>
          <w:tcPr>
            <w:tcW w:w="0" w:type="auto"/>
            <w:vAlign w:val="center"/>
          </w:tcPr>
          <w:p w14:paraId="5E7B583F">
            <w:pPr>
              <w:jc w:val="center"/>
              <w:rPr>
                <w:szCs w:val="21"/>
              </w:rPr>
            </w:pPr>
            <w:r>
              <w:rPr>
                <w:szCs w:val="21"/>
              </w:rPr>
              <w:t>管电压70kV</w:t>
            </w:r>
          </w:p>
          <w:p w14:paraId="3CF54BA5">
            <w:pPr>
              <w:widowControl/>
              <w:jc w:val="center"/>
              <w:textAlignment w:val="center"/>
              <w:rPr>
                <w:color w:val="000000"/>
                <w:kern w:val="0"/>
                <w:szCs w:val="21"/>
                <w:lang w:bidi="ar"/>
              </w:rPr>
            </w:pPr>
            <w:r>
              <w:rPr>
                <w:szCs w:val="21"/>
              </w:rPr>
              <w:t>管电流7mA</w:t>
            </w:r>
          </w:p>
        </w:tc>
        <w:tc>
          <w:tcPr>
            <w:tcW w:w="0" w:type="auto"/>
            <w:vAlign w:val="center"/>
          </w:tcPr>
          <w:p w14:paraId="2963BBDB">
            <w:pPr>
              <w:widowControl/>
              <w:jc w:val="center"/>
              <w:textAlignment w:val="center"/>
              <w:rPr>
                <w:color w:val="000000"/>
                <w:kern w:val="0"/>
                <w:szCs w:val="21"/>
                <w:lang w:bidi="ar"/>
              </w:rPr>
            </w:pPr>
            <w:r>
              <w:rPr>
                <w:color w:val="000000"/>
                <w:kern w:val="0"/>
                <w:szCs w:val="21"/>
                <w:lang w:bidi="ar"/>
              </w:rPr>
              <w:t>西诺德</w:t>
            </w:r>
          </w:p>
        </w:tc>
      </w:tr>
      <w:tr w14:paraId="57B52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2E0215C">
            <w:pPr>
              <w:widowControl/>
              <w:jc w:val="center"/>
              <w:textAlignment w:val="center"/>
              <w:rPr>
                <w:b/>
                <w:color w:val="000000"/>
                <w:kern w:val="0"/>
                <w:szCs w:val="21"/>
                <w:lang w:bidi="ar"/>
              </w:rPr>
            </w:pPr>
            <w:r>
              <w:rPr>
                <w:b/>
                <w:color w:val="000000"/>
                <w:kern w:val="0"/>
                <w:szCs w:val="21"/>
                <w:lang w:bidi="ar"/>
              </w:rPr>
              <w:t>47</w:t>
            </w:r>
          </w:p>
        </w:tc>
        <w:tc>
          <w:tcPr>
            <w:tcW w:w="0" w:type="auto"/>
            <w:vMerge w:val="continue"/>
            <w:vAlign w:val="center"/>
          </w:tcPr>
          <w:p w14:paraId="4B6CBB89">
            <w:pPr>
              <w:widowControl/>
              <w:jc w:val="center"/>
              <w:textAlignment w:val="center"/>
              <w:rPr>
                <w:color w:val="000000"/>
                <w:kern w:val="0"/>
                <w:szCs w:val="21"/>
                <w:lang w:bidi="ar"/>
              </w:rPr>
            </w:pPr>
          </w:p>
        </w:tc>
        <w:tc>
          <w:tcPr>
            <w:tcW w:w="0" w:type="auto"/>
          </w:tcPr>
          <w:p w14:paraId="25634CF0">
            <w:pPr>
              <w:widowControl/>
              <w:jc w:val="center"/>
              <w:textAlignment w:val="center"/>
              <w:rPr>
                <w:color w:val="000000"/>
                <w:kern w:val="0"/>
                <w:szCs w:val="21"/>
                <w:lang w:bidi="ar"/>
              </w:rPr>
            </w:pPr>
            <w:r>
              <w:rPr>
                <w:color w:val="000000"/>
                <w:kern w:val="0"/>
                <w:szCs w:val="21"/>
                <w:lang w:bidi="ar"/>
              </w:rPr>
              <w:t>口腔（牙科）X射线装置</w:t>
            </w:r>
          </w:p>
        </w:tc>
        <w:tc>
          <w:tcPr>
            <w:tcW w:w="0" w:type="auto"/>
          </w:tcPr>
          <w:p w14:paraId="6D8B68AE">
            <w:pPr>
              <w:widowControl/>
              <w:jc w:val="center"/>
              <w:textAlignment w:val="center"/>
              <w:rPr>
                <w:color w:val="000000"/>
                <w:kern w:val="0"/>
                <w:szCs w:val="21"/>
                <w:lang w:bidi="ar"/>
              </w:rPr>
            </w:pPr>
            <w:r>
              <w:rPr>
                <w:color w:val="000000"/>
                <w:szCs w:val="21"/>
              </w:rPr>
              <w:t>III类</w:t>
            </w:r>
          </w:p>
        </w:tc>
        <w:tc>
          <w:tcPr>
            <w:tcW w:w="0" w:type="auto"/>
            <w:vAlign w:val="center"/>
          </w:tcPr>
          <w:p w14:paraId="183BBEB8">
            <w:pPr>
              <w:widowControl/>
              <w:jc w:val="center"/>
              <w:textAlignment w:val="center"/>
              <w:rPr>
                <w:color w:val="000000"/>
                <w:kern w:val="0"/>
                <w:szCs w:val="21"/>
                <w:lang w:bidi="ar"/>
              </w:rPr>
            </w:pPr>
            <w:r>
              <w:rPr>
                <w:szCs w:val="21"/>
              </w:rPr>
              <w:t>使用</w:t>
            </w:r>
          </w:p>
        </w:tc>
        <w:tc>
          <w:tcPr>
            <w:tcW w:w="0" w:type="auto"/>
            <w:vAlign w:val="center"/>
          </w:tcPr>
          <w:p w14:paraId="471054B6">
            <w:pPr>
              <w:jc w:val="center"/>
              <w:rPr>
                <w:color w:val="000000"/>
                <w:kern w:val="0"/>
                <w:szCs w:val="21"/>
                <w:lang w:bidi="ar"/>
              </w:rPr>
            </w:pPr>
            <w:r>
              <w:rPr>
                <w:szCs w:val="21"/>
              </w:rPr>
              <w:t>1</w:t>
            </w:r>
          </w:p>
        </w:tc>
        <w:tc>
          <w:tcPr>
            <w:tcW w:w="0" w:type="auto"/>
            <w:vAlign w:val="center"/>
          </w:tcPr>
          <w:p w14:paraId="588EA8FA">
            <w:pPr>
              <w:widowControl/>
              <w:jc w:val="center"/>
              <w:textAlignment w:val="center"/>
              <w:rPr>
                <w:color w:val="000000"/>
                <w:kern w:val="0"/>
                <w:szCs w:val="21"/>
                <w:lang w:bidi="ar"/>
              </w:rPr>
            </w:pPr>
            <w:r>
              <w:rPr>
                <w:color w:val="000000"/>
                <w:kern w:val="0"/>
                <w:szCs w:val="21"/>
                <w:lang w:bidi="ar"/>
              </w:rPr>
              <w:t>牙片机</w:t>
            </w:r>
          </w:p>
        </w:tc>
        <w:tc>
          <w:tcPr>
            <w:tcW w:w="0" w:type="auto"/>
            <w:vAlign w:val="center"/>
          </w:tcPr>
          <w:p w14:paraId="73F55702">
            <w:pPr>
              <w:widowControl/>
              <w:jc w:val="center"/>
              <w:textAlignment w:val="center"/>
              <w:rPr>
                <w:color w:val="000000"/>
                <w:kern w:val="0"/>
                <w:szCs w:val="21"/>
                <w:lang w:bidi="ar"/>
              </w:rPr>
            </w:pPr>
            <w:r>
              <w:rPr>
                <w:color w:val="000000"/>
                <w:kern w:val="0"/>
                <w:szCs w:val="21"/>
                <w:lang w:bidi="ar"/>
              </w:rPr>
              <w:t>Kodak 2200</w:t>
            </w:r>
          </w:p>
        </w:tc>
        <w:tc>
          <w:tcPr>
            <w:tcW w:w="0" w:type="auto"/>
            <w:vAlign w:val="center"/>
          </w:tcPr>
          <w:p w14:paraId="2617DFEA">
            <w:pPr>
              <w:widowControl/>
              <w:jc w:val="center"/>
              <w:textAlignment w:val="center"/>
              <w:rPr>
                <w:color w:val="000000"/>
                <w:kern w:val="0"/>
                <w:szCs w:val="21"/>
                <w:lang w:bidi="ar"/>
              </w:rPr>
            </w:pPr>
            <w:r>
              <w:rPr>
                <w:color w:val="000000"/>
                <w:kern w:val="0"/>
                <w:szCs w:val="21"/>
                <w:lang w:bidi="ar"/>
              </w:rPr>
              <w:t>YLXB020</w:t>
            </w:r>
          </w:p>
        </w:tc>
        <w:tc>
          <w:tcPr>
            <w:tcW w:w="0" w:type="auto"/>
            <w:vAlign w:val="center"/>
          </w:tcPr>
          <w:p w14:paraId="7CF5D4F8">
            <w:pPr>
              <w:jc w:val="center"/>
              <w:rPr>
                <w:szCs w:val="21"/>
              </w:rPr>
            </w:pPr>
            <w:r>
              <w:rPr>
                <w:szCs w:val="21"/>
              </w:rPr>
              <w:t>管电压70kV</w:t>
            </w:r>
          </w:p>
          <w:p w14:paraId="7DF81A70">
            <w:pPr>
              <w:widowControl/>
              <w:jc w:val="center"/>
              <w:textAlignment w:val="center"/>
              <w:rPr>
                <w:color w:val="000000"/>
                <w:kern w:val="0"/>
                <w:szCs w:val="21"/>
                <w:lang w:bidi="ar"/>
              </w:rPr>
            </w:pPr>
            <w:r>
              <w:rPr>
                <w:szCs w:val="21"/>
              </w:rPr>
              <w:t>管电流7mA</w:t>
            </w:r>
          </w:p>
        </w:tc>
        <w:tc>
          <w:tcPr>
            <w:tcW w:w="0" w:type="auto"/>
            <w:vAlign w:val="center"/>
          </w:tcPr>
          <w:p w14:paraId="321B2DB4">
            <w:pPr>
              <w:widowControl/>
              <w:jc w:val="center"/>
              <w:textAlignment w:val="center"/>
              <w:rPr>
                <w:color w:val="000000"/>
                <w:kern w:val="0"/>
                <w:szCs w:val="21"/>
                <w:lang w:bidi="ar"/>
              </w:rPr>
            </w:pPr>
            <w:r>
              <w:rPr>
                <w:color w:val="000000"/>
                <w:kern w:val="0"/>
                <w:szCs w:val="21"/>
                <w:lang w:bidi="ar"/>
              </w:rPr>
              <w:t>柯达</w:t>
            </w:r>
          </w:p>
        </w:tc>
      </w:tr>
      <w:tr w14:paraId="03E86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B663101">
            <w:pPr>
              <w:widowControl/>
              <w:jc w:val="center"/>
              <w:textAlignment w:val="center"/>
              <w:rPr>
                <w:b/>
                <w:color w:val="000000"/>
                <w:kern w:val="0"/>
                <w:szCs w:val="21"/>
                <w:lang w:bidi="ar"/>
              </w:rPr>
            </w:pPr>
            <w:r>
              <w:rPr>
                <w:b/>
                <w:color w:val="000000"/>
                <w:kern w:val="0"/>
                <w:szCs w:val="21"/>
                <w:lang w:bidi="ar"/>
              </w:rPr>
              <w:t>48</w:t>
            </w:r>
          </w:p>
        </w:tc>
        <w:tc>
          <w:tcPr>
            <w:tcW w:w="0" w:type="auto"/>
            <w:vMerge w:val="continue"/>
            <w:vAlign w:val="center"/>
          </w:tcPr>
          <w:p w14:paraId="7A72C841">
            <w:pPr>
              <w:widowControl/>
              <w:jc w:val="center"/>
              <w:textAlignment w:val="center"/>
              <w:rPr>
                <w:color w:val="000000"/>
                <w:kern w:val="0"/>
                <w:szCs w:val="21"/>
                <w:lang w:bidi="ar"/>
              </w:rPr>
            </w:pPr>
          </w:p>
        </w:tc>
        <w:tc>
          <w:tcPr>
            <w:tcW w:w="0" w:type="auto"/>
          </w:tcPr>
          <w:p w14:paraId="20795E1A">
            <w:pPr>
              <w:widowControl/>
              <w:jc w:val="center"/>
              <w:textAlignment w:val="center"/>
              <w:rPr>
                <w:color w:val="000000"/>
                <w:kern w:val="0"/>
                <w:szCs w:val="21"/>
                <w:lang w:bidi="ar"/>
              </w:rPr>
            </w:pPr>
            <w:r>
              <w:rPr>
                <w:color w:val="000000"/>
                <w:kern w:val="0"/>
                <w:szCs w:val="21"/>
                <w:lang w:bidi="ar"/>
              </w:rPr>
              <w:t>口腔（牙科）X射线装置</w:t>
            </w:r>
          </w:p>
        </w:tc>
        <w:tc>
          <w:tcPr>
            <w:tcW w:w="0" w:type="auto"/>
          </w:tcPr>
          <w:p w14:paraId="6B1BC1EA">
            <w:pPr>
              <w:widowControl/>
              <w:jc w:val="center"/>
              <w:textAlignment w:val="center"/>
              <w:rPr>
                <w:color w:val="000000"/>
                <w:kern w:val="0"/>
                <w:szCs w:val="21"/>
                <w:lang w:bidi="ar"/>
              </w:rPr>
            </w:pPr>
            <w:r>
              <w:rPr>
                <w:color w:val="000000"/>
                <w:szCs w:val="21"/>
              </w:rPr>
              <w:t>III类</w:t>
            </w:r>
          </w:p>
        </w:tc>
        <w:tc>
          <w:tcPr>
            <w:tcW w:w="0" w:type="auto"/>
            <w:vAlign w:val="center"/>
          </w:tcPr>
          <w:p w14:paraId="22EB303C">
            <w:pPr>
              <w:widowControl/>
              <w:jc w:val="center"/>
              <w:textAlignment w:val="center"/>
              <w:rPr>
                <w:color w:val="000000"/>
                <w:kern w:val="0"/>
                <w:szCs w:val="21"/>
                <w:lang w:bidi="ar"/>
              </w:rPr>
            </w:pPr>
            <w:r>
              <w:rPr>
                <w:szCs w:val="21"/>
              </w:rPr>
              <w:t>使用</w:t>
            </w:r>
          </w:p>
        </w:tc>
        <w:tc>
          <w:tcPr>
            <w:tcW w:w="0" w:type="auto"/>
            <w:vAlign w:val="center"/>
          </w:tcPr>
          <w:p w14:paraId="33A63BF3">
            <w:pPr>
              <w:jc w:val="center"/>
              <w:rPr>
                <w:color w:val="000000"/>
                <w:kern w:val="0"/>
                <w:szCs w:val="21"/>
                <w:lang w:bidi="ar"/>
              </w:rPr>
            </w:pPr>
            <w:r>
              <w:rPr>
                <w:szCs w:val="21"/>
              </w:rPr>
              <w:t>1</w:t>
            </w:r>
          </w:p>
        </w:tc>
        <w:tc>
          <w:tcPr>
            <w:tcW w:w="0" w:type="auto"/>
            <w:vAlign w:val="center"/>
          </w:tcPr>
          <w:p w14:paraId="0B569E11">
            <w:pPr>
              <w:widowControl/>
              <w:jc w:val="center"/>
              <w:textAlignment w:val="center"/>
              <w:rPr>
                <w:color w:val="000000"/>
                <w:kern w:val="0"/>
                <w:szCs w:val="21"/>
                <w:lang w:bidi="ar"/>
              </w:rPr>
            </w:pPr>
            <w:r>
              <w:rPr>
                <w:color w:val="000000"/>
                <w:kern w:val="0"/>
                <w:szCs w:val="21"/>
                <w:lang w:bidi="ar"/>
              </w:rPr>
              <w:t>口腔全景机</w:t>
            </w:r>
          </w:p>
        </w:tc>
        <w:tc>
          <w:tcPr>
            <w:tcW w:w="0" w:type="auto"/>
            <w:vAlign w:val="center"/>
          </w:tcPr>
          <w:p w14:paraId="14FA9BEA">
            <w:pPr>
              <w:widowControl/>
              <w:jc w:val="center"/>
              <w:textAlignment w:val="center"/>
              <w:rPr>
                <w:color w:val="000000"/>
                <w:kern w:val="0"/>
                <w:szCs w:val="21"/>
                <w:lang w:bidi="ar"/>
              </w:rPr>
            </w:pPr>
            <w:r>
              <w:rPr>
                <w:color w:val="000000"/>
                <w:kern w:val="0"/>
                <w:szCs w:val="21"/>
                <w:lang w:bidi="ar"/>
              </w:rPr>
              <w:t>Kodak9000</w:t>
            </w:r>
          </w:p>
        </w:tc>
        <w:tc>
          <w:tcPr>
            <w:tcW w:w="0" w:type="auto"/>
            <w:vAlign w:val="center"/>
          </w:tcPr>
          <w:p w14:paraId="6D3C1A26">
            <w:pPr>
              <w:widowControl/>
              <w:jc w:val="center"/>
              <w:textAlignment w:val="center"/>
              <w:rPr>
                <w:color w:val="000000"/>
                <w:kern w:val="0"/>
                <w:szCs w:val="21"/>
                <w:lang w:bidi="ar"/>
              </w:rPr>
            </w:pPr>
            <w:r>
              <w:rPr>
                <w:color w:val="000000"/>
                <w:kern w:val="0"/>
                <w:szCs w:val="21"/>
                <w:lang w:bidi="ar"/>
              </w:rPr>
              <w:t>ZCAF008</w:t>
            </w:r>
          </w:p>
        </w:tc>
        <w:tc>
          <w:tcPr>
            <w:tcW w:w="0" w:type="auto"/>
            <w:vAlign w:val="center"/>
          </w:tcPr>
          <w:p w14:paraId="35C42236">
            <w:pPr>
              <w:jc w:val="center"/>
              <w:rPr>
                <w:szCs w:val="21"/>
              </w:rPr>
            </w:pPr>
            <w:r>
              <w:rPr>
                <w:szCs w:val="21"/>
              </w:rPr>
              <w:t>管电压90kV</w:t>
            </w:r>
          </w:p>
          <w:p w14:paraId="40613594">
            <w:pPr>
              <w:widowControl/>
              <w:jc w:val="center"/>
              <w:textAlignment w:val="center"/>
              <w:rPr>
                <w:color w:val="000000"/>
                <w:kern w:val="0"/>
                <w:szCs w:val="21"/>
                <w:lang w:bidi="ar"/>
              </w:rPr>
            </w:pPr>
            <w:r>
              <w:rPr>
                <w:szCs w:val="21"/>
              </w:rPr>
              <w:t>管电流15mA</w:t>
            </w:r>
          </w:p>
        </w:tc>
        <w:tc>
          <w:tcPr>
            <w:tcW w:w="0" w:type="auto"/>
            <w:vAlign w:val="center"/>
          </w:tcPr>
          <w:p w14:paraId="6C513EF0">
            <w:pPr>
              <w:widowControl/>
              <w:jc w:val="center"/>
              <w:textAlignment w:val="center"/>
              <w:rPr>
                <w:color w:val="000000"/>
                <w:kern w:val="0"/>
                <w:szCs w:val="21"/>
                <w:lang w:bidi="ar"/>
              </w:rPr>
            </w:pPr>
            <w:r>
              <w:rPr>
                <w:color w:val="000000"/>
                <w:kern w:val="0"/>
                <w:szCs w:val="21"/>
                <w:lang w:bidi="ar"/>
              </w:rPr>
              <w:t>柯达</w:t>
            </w:r>
          </w:p>
        </w:tc>
      </w:tr>
      <w:tr w14:paraId="48ABA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056AA1C2">
            <w:pPr>
              <w:widowControl/>
              <w:jc w:val="center"/>
              <w:textAlignment w:val="center"/>
              <w:rPr>
                <w:b/>
                <w:color w:val="000000"/>
                <w:kern w:val="0"/>
                <w:szCs w:val="21"/>
                <w:lang w:bidi="ar"/>
              </w:rPr>
            </w:pPr>
            <w:r>
              <w:rPr>
                <w:b/>
                <w:color w:val="000000"/>
                <w:kern w:val="0"/>
                <w:szCs w:val="21"/>
                <w:lang w:bidi="ar"/>
              </w:rPr>
              <w:t>49</w:t>
            </w:r>
          </w:p>
        </w:tc>
        <w:tc>
          <w:tcPr>
            <w:tcW w:w="0" w:type="auto"/>
            <w:vMerge w:val="restart"/>
            <w:vAlign w:val="center"/>
          </w:tcPr>
          <w:p w14:paraId="66CC3457">
            <w:pPr>
              <w:widowControl/>
              <w:jc w:val="center"/>
              <w:textAlignment w:val="center"/>
              <w:rPr>
                <w:color w:val="000000"/>
                <w:kern w:val="0"/>
                <w:szCs w:val="21"/>
                <w:lang w:bidi="ar"/>
              </w:rPr>
            </w:pPr>
            <w:r>
              <w:rPr>
                <w:color w:val="000000"/>
                <w:kern w:val="0"/>
                <w:szCs w:val="21"/>
                <w:lang w:bidi="ar"/>
              </w:rPr>
              <w:t>萝岗院区综合楼首层</w:t>
            </w:r>
          </w:p>
        </w:tc>
        <w:tc>
          <w:tcPr>
            <w:tcW w:w="0" w:type="auto"/>
          </w:tcPr>
          <w:p w14:paraId="4300D588">
            <w:pPr>
              <w:widowControl/>
              <w:jc w:val="center"/>
              <w:textAlignment w:val="center"/>
              <w:rPr>
                <w:color w:val="000000"/>
                <w:kern w:val="0"/>
                <w:szCs w:val="21"/>
                <w:lang w:bidi="ar"/>
              </w:rPr>
            </w:pPr>
            <w:r>
              <w:rPr>
                <w:color w:val="000000"/>
                <w:szCs w:val="21"/>
              </w:rPr>
              <w:t>医用诊断X射线装置</w:t>
            </w:r>
          </w:p>
        </w:tc>
        <w:tc>
          <w:tcPr>
            <w:tcW w:w="0" w:type="auto"/>
          </w:tcPr>
          <w:p w14:paraId="120C99C7">
            <w:pPr>
              <w:widowControl/>
              <w:jc w:val="center"/>
              <w:textAlignment w:val="center"/>
              <w:rPr>
                <w:color w:val="000000"/>
                <w:kern w:val="0"/>
                <w:szCs w:val="21"/>
                <w:lang w:bidi="ar"/>
              </w:rPr>
            </w:pPr>
            <w:r>
              <w:rPr>
                <w:color w:val="000000"/>
                <w:szCs w:val="21"/>
              </w:rPr>
              <w:t>III类</w:t>
            </w:r>
          </w:p>
        </w:tc>
        <w:tc>
          <w:tcPr>
            <w:tcW w:w="0" w:type="auto"/>
            <w:vAlign w:val="center"/>
          </w:tcPr>
          <w:p w14:paraId="087412D4">
            <w:pPr>
              <w:widowControl/>
              <w:jc w:val="center"/>
              <w:textAlignment w:val="center"/>
              <w:rPr>
                <w:color w:val="000000"/>
                <w:kern w:val="0"/>
                <w:szCs w:val="21"/>
                <w:lang w:bidi="ar"/>
              </w:rPr>
            </w:pPr>
            <w:r>
              <w:rPr>
                <w:szCs w:val="21"/>
              </w:rPr>
              <w:t>使用</w:t>
            </w:r>
          </w:p>
        </w:tc>
        <w:tc>
          <w:tcPr>
            <w:tcW w:w="0" w:type="auto"/>
            <w:vAlign w:val="center"/>
          </w:tcPr>
          <w:p w14:paraId="680316F2">
            <w:pPr>
              <w:jc w:val="center"/>
              <w:rPr>
                <w:color w:val="000000"/>
                <w:kern w:val="0"/>
                <w:szCs w:val="21"/>
                <w:lang w:bidi="ar"/>
              </w:rPr>
            </w:pPr>
            <w:r>
              <w:rPr>
                <w:szCs w:val="21"/>
              </w:rPr>
              <w:t>1</w:t>
            </w:r>
          </w:p>
        </w:tc>
        <w:tc>
          <w:tcPr>
            <w:tcW w:w="0" w:type="auto"/>
            <w:vAlign w:val="center"/>
          </w:tcPr>
          <w:p w14:paraId="59942A23">
            <w:pPr>
              <w:widowControl/>
              <w:jc w:val="center"/>
              <w:textAlignment w:val="center"/>
              <w:rPr>
                <w:color w:val="000000"/>
                <w:kern w:val="0"/>
                <w:szCs w:val="21"/>
                <w:lang w:bidi="ar"/>
              </w:rPr>
            </w:pPr>
            <w:r>
              <w:rPr>
                <w:color w:val="000000"/>
                <w:kern w:val="0"/>
                <w:szCs w:val="21"/>
                <w:lang w:bidi="ar"/>
              </w:rPr>
              <w:t>DR机</w:t>
            </w:r>
          </w:p>
        </w:tc>
        <w:tc>
          <w:tcPr>
            <w:tcW w:w="0" w:type="auto"/>
            <w:vAlign w:val="center"/>
          </w:tcPr>
          <w:p w14:paraId="242173F5">
            <w:pPr>
              <w:widowControl/>
              <w:jc w:val="center"/>
              <w:textAlignment w:val="center"/>
              <w:rPr>
                <w:color w:val="000000"/>
                <w:kern w:val="0"/>
                <w:szCs w:val="21"/>
                <w:lang w:bidi="ar"/>
              </w:rPr>
            </w:pPr>
            <w:r>
              <w:rPr>
                <w:color w:val="000000"/>
                <w:kern w:val="0"/>
                <w:szCs w:val="21"/>
                <w:lang w:bidi="ar"/>
              </w:rPr>
              <w:t>DuraDiagnost Compact</w:t>
            </w:r>
          </w:p>
        </w:tc>
        <w:tc>
          <w:tcPr>
            <w:tcW w:w="0" w:type="auto"/>
            <w:vAlign w:val="center"/>
          </w:tcPr>
          <w:p w14:paraId="326A3F6B">
            <w:pPr>
              <w:widowControl/>
              <w:jc w:val="center"/>
              <w:textAlignment w:val="center"/>
              <w:rPr>
                <w:color w:val="000000"/>
                <w:kern w:val="0"/>
                <w:szCs w:val="21"/>
                <w:lang w:bidi="ar"/>
              </w:rPr>
            </w:pPr>
            <w:r>
              <w:rPr>
                <w:color w:val="000000"/>
                <w:kern w:val="0"/>
                <w:szCs w:val="21"/>
                <w:lang w:bidi="ar"/>
              </w:rPr>
              <w:t>170051</w:t>
            </w:r>
          </w:p>
        </w:tc>
        <w:tc>
          <w:tcPr>
            <w:tcW w:w="0" w:type="auto"/>
            <w:vAlign w:val="center"/>
          </w:tcPr>
          <w:p w14:paraId="310FB54D">
            <w:pPr>
              <w:jc w:val="center"/>
              <w:rPr>
                <w:szCs w:val="21"/>
              </w:rPr>
            </w:pPr>
            <w:r>
              <w:rPr>
                <w:szCs w:val="21"/>
              </w:rPr>
              <w:t>管电压150kV</w:t>
            </w:r>
          </w:p>
          <w:p w14:paraId="42AB251D">
            <w:pPr>
              <w:widowControl/>
              <w:jc w:val="center"/>
              <w:textAlignment w:val="center"/>
              <w:rPr>
                <w:color w:val="000000"/>
                <w:kern w:val="0"/>
                <w:szCs w:val="21"/>
                <w:lang w:bidi="ar"/>
              </w:rPr>
            </w:pPr>
            <w:r>
              <w:rPr>
                <w:szCs w:val="21"/>
              </w:rPr>
              <w:t>管电流630mA</w:t>
            </w:r>
          </w:p>
        </w:tc>
        <w:tc>
          <w:tcPr>
            <w:tcW w:w="0" w:type="auto"/>
            <w:vAlign w:val="center"/>
          </w:tcPr>
          <w:p w14:paraId="3ABB90B8">
            <w:pPr>
              <w:widowControl/>
              <w:jc w:val="center"/>
              <w:textAlignment w:val="center"/>
              <w:rPr>
                <w:color w:val="000000"/>
                <w:kern w:val="0"/>
                <w:szCs w:val="21"/>
                <w:lang w:bidi="ar"/>
              </w:rPr>
            </w:pPr>
            <w:r>
              <w:rPr>
                <w:color w:val="000000"/>
                <w:kern w:val="0"/>
                <w:szCs w:val="21"/>
                <w:lang w:bidi="ar"/>
              </w:rPr>
              <w:t>飞利浦</w:t>
            </w:r>
          </w:p>
        </w:tc>
      </w:tr>
      <w:tr w14:paraId="7A8D2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7CE8B478">
            <w:pPr>
              <w:widowControl/>
              <w:jc w:val="center"/>
              <w:textAlignment w:val="center"/>
              <w:rPr>
                <w:b/>
                <w:color w:val="000000"/>
                <w:kern w:val="0"/>
                <w:szCs w:val="21"/>
                <w:lang w:bidi="ar"/>
              </w:rPr>
            </w:pPr>
            <w:r>
              <w:rPr>
                <w:b/>
                <w:color w:val="000000"/>
                <w:kern w:val="0"/>
                <w:szCs w:val="21"/>
                <w:lang w:bidi="ar"/>
              </w:rPr>
              <w:t>50</w:t>
            </w:r>
          </w:p>
        </w:tc>
        <w:tc>
          <w:tcPr>
            <w:tcW w:w="0" w:type="auto"/>
            <w:vMerge w:val="continue"/>
            <w:vAlign w:val="center"/>
          </w:tcPr>
          <w:p w14:paraId="066069FD">
            <w:pPr>
              <w:widowControl/>
              <w:jc w:val="center"/>
              <w:textAlignment w:val="center"/>
              <w:rPr>
                <w:color w:val="000000"/>
                <w:kern w:val="0"/>
                <w:szCs w:val="21"/>
                <w:lang w:bidi="ar"/>
              </w:rPr>
            </w:pPr>
          </w:p>
        </w:tc>
        <w:tc>
          <w:tcPr>
            <w:tcW w:w="0" w:type="auto"/>
          </w:tcPr>
          <w:p w14:paraId="3BCED545">
            <w:pPr>
              <w:widowControl/>
              <w:jc w:val="center"/>
              <w:textAlignment w:val="center"/>
              <w:rPr>
                <w:color w:val="000000"/>
                <w:kern w:val="0"/>
                <w:szCs w:val="21"/>
                <w:lang w:bidi="ar"/>
              </w:rPr>
            </w:pPr>
            <w:r>
              <w:rPr>
                <w:color w:val="000000"/>
                <w:szCs w:val="21"/>
              </w:rPr>
              <w:t>医用诊断X射线装置</w:t>
            </w:r>
          </w:p>
        </w:tc>
        <w:tc>
          <w:tcPr>
            <w:tcW w:w="0" w:type="auto"/>
          </w:tcPr>
          <w:p w14:paraId="08D8810D">
            <w:pPr>
              <w:widowControl/>
              <w:jc w:val="center"/>
              <w:textAlignment w:val="center"/>
              <w:rPr>
                <w:color w:val="000000"/>
                <w:kern w:val="0"/>
                <w:szCs w:val="21"/>
                <w:lang w:bidi="ar"/>
              </w:rPr>
            </w:pPr>
            <w:r>
              <w:rPr>
                <w:color w:val="000000"/>
                <w:szCs w:val="21"/>
              </w:rPr>
              <w:t>III类</w:t>
            </w:r>
          </w:p>
        </w:tc>
        <w:tc>
          <w:tcPr>
            <w:tcW w:w="0" w:type="auto"/>
            <w:vAlign w:val="center"/>
          </w:tcPr>
          <w:p w14:paraId="74DB800C">
            <w:pPr>
              <w:widowControl/>
              <w:jc w:val="center"/>
              <w:textAlignment w:val="center"/>
              <w:rPr>
                <w:color w:val="000000"/>
                <w:kern w:val="0"/>
                <w:szCs w:val="21"/>
                <w:lang w:bidi="ar"/>
              </w:rPr>
            </w:pPr>
            <w:r>
              <w:rPr>
                <w:szCs w:val="21"/>
              </w:rPr>
              <w:t>使用</w:t>
            </w:r>
          </w:p>
        </w:tc>
        <w:tc>
          <w:tcPr>
            <w:tcW w:w="0" w:type="auto"/>
            <w:vAlign w:val="center"/>
          </w:tcPr>
          <w:p w14:paraId="23CC52A2">
            <w:pPr>
              <w:jc w:val="center"/>
              <w:rPr>
                <w:color w:val="000000"/>
                <w:kern w:val="0"/>
                <w:szCs w:val="21"/>
                <w:lang w:bidi="ar"/>
              </w:rPr>
            </w:pPr>
            <w:r>
              <w:rPr>
                <w:szCs w:val="21"/>
              </w:rPr>
              <w:t>1</w:t>
            </w:r>
          </w:p>
        </w:tc>
        <w:tc>
          <w:tcPr>
            <w:tcW w:w="0" w:type="auto"/>
            <w:vAlign w:val="center"/>
          </w:tcPr>
          <w:p w14:paraId="708AD782">
            <w:pPr>
              <w:widowControl/>
              <w:jc w:val="center"/>
              <w:textAlignment w:val="center"/>
              <w:rPr>
                <w:color w:val="000000"/>
                <w:kern w:val="0"/>
                <w:szCs w:val="21"/>
                <w:lang w:bidi="ar"/>
              </w:rPr>
            </w:pPr>
            <w:r>
              <w:rPr>
                <w:color w:val="000000"/>
                <w:kern w:val="0"/>
                <w:szCs w:val="21"/>
                <w:lang w:bidi="ar"/>
              </w:rPr>
              <w:t>数字化厢式DR机</w:t>
            </w:r>
          </w:p>
        </w:tc>
        <w:tc>
          <w:tcPr>
            <w:tcW w:w="0" w:type="auto"/>
            <w:vAlign w:val="center"/>
          </w:tcPr>
          <w:p w14:paraId="197A7B15">
            <w:pPr>
              <w:widowControl/>
              <w:jc w:val="center"/>
              <w:textAlignment w:val="center"/>
              <w:rPr>
                <w:color w:val="000000"/>
                <w:kern w:val="0"/>
                <w:szCs w:val="21"/>
                <w:lang w:bidi="ar"/>
              </w:rPr>
            </w:pPr>
            <w:r>
              <w:rPr>
                <w:color w:val="000000"/>
                <w:kern w:val="0"/>
                <w:szCs w:val="21"/>
                <w:lang w:bidi="ar"/>
              </w:rPr>
              <w:t>AKHX-55H-RAD</w:t>
            </w:r>
          </w:p>
        </w:tc>
        <w:tc>
          <w:tcPr>
            <w:tcW w:w="0" w:type="auto"/>
            <w:vAlign w:val="center"/>
          </w:tcPr>
          <w:p w14:paraId="0AD09AFD">
            <w:pPr>
              <w:widowControl/>
              <w:jc w:val="center"/>
              <w:textAlignment w:val="center"/>
              <w:rPr>
                <w:color w:val="000000"/>
                <w:kern w:val="0"/>
                <w:szCs w:val="21"/>
                <w:lang w:bidi="ar"/>
              </w:rPr>
            </w:pPr>
            <w:r>
              <w:rPr>
                <w:color w:val="000000"/>
                <w:kern w:val="0"/>
                <w:szCs w:val="21"/>
                <w:lang w:bidi="ar"/>
              </w:rPr>
              <w:t>1909102</w:t>
            </w:r>
          </w:p>
        </w:tc>
        <w:tc>
          <w:tcPr>
            <w:tcW w:w="0" w:type="auto"/>
            <w:vAlign w:val="center"/>
          </w:tcPr>
          <w:p w14:paraId="7FD6A4E3">
            <w:pPr>
              <w:jc w:val="center"/>
              <w:rPr>
                <w:szCs w:val="21"/>
              </w:rPr>
            </w:pPr>
            <w:r>
              <w:rPr>
                <w:szCs w:val="21"/>
              </w:rPr>
              <w:t>管电压120kV</w:t>
            </w:r>
          </w:p>
          <w:p w14:paraId="68809585">
            <w:pPr>
              <w:widowControl/>
              <w:jc w:val="center"/>
              <w:textAlignment w:val="center"/>
              <w:rPr>
                <w:color w:val="000000"/>
                <w:kern w:val="0"/>
                <w:szCs w:val="21"/>
                <w:lang w:bidi="ar"/>
              </w:rPr>
            </w:pPr>
            <w:r>
              <w:rPr>
                <w:szCs w:val="21"/>
              </w:rPr>
              <w:t>管电流2000mA</w:t>
            </w:r>
          </w:p>
        </w:tc>
        <w:tc>
          <w:tcPr>
            <w:tcW w:w="0" w:type="auto"/>
            <w:vAlign w:val="center"/>
          </w:tcPr>
          <w:p w14:paraId="27F4EF4D">
            <w:pPr>
              <w:widowControl/>
              <w:jc w:val="center"/>
              <w:textAlignment w:val="center"/>
              <w:rPr>
                <w:color w:val="000000"/>
                <w:kern w:val="0"/>
                <w:szCs w:val="21"/>
                <w:lang w:bidi="ar"/>
              </w:rPr>
            </w:pPr>
            <w:r>
              <w:rPr>
                <w:color w:val="000000"/>
                <w:kern w:val="0"/>
                <w:szCs w:val="21"/>
                <w:lang w:bidi="ar"/>
              </w:rPr>
              <w:t>深圳市艾克瑞电气有限公司</w:t>
            </w:r>
          </w:p>
        </w:tc>
      </w:tr>
      <w:tr w14:paraId="73B73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14A81051">
            <w:pPr>
              <w:widowControl/>
              <w:jc w:val="center"/>
              <w:textAlignment w:val="center"/>
              <w:rPr>
                <w:b/>
                <w:color w:val="000000"/>
                <w:kern w:val="0"/>
                <w:szCs w:val="21"/>
                <w:lang w:bidi="ar"/>
              </w:rPr>
            </w:pPr>
            <w:r>
              <w:rPr>
                <w:b/>
                <w:color w:val="000000"/>
                <w:kern w:val="0"/>
                <w:szCs w:val="21"/>
                <w:lang w:bidi="ar"/>
              </w:rPr>
              <w:t>51</w:t>
            </w:r>
          </w:p>
        </w:tc>
        <w:tc>
          <w:tcPr>
            <w:tcW w:w="0" w:type="auto"/>
            <w:vMerge w:val="continue"/>
            <w:vAlign w:val="center"/>
          </w:tcPr>
          <w:p w14:paraId="0E86BA16">
            <w:pPr>
              <w:widowControl/>
              <w:jc w:val="center"/>
              <w:textAlignment w:val="center"/>
              <w:rPr>
                <w:color w:val="000000"/>
                <w:kern w:val="0"/>
                <w:szCs w:val="21"/>
                <w:lang w:bidi="ar"/>
              </w:rPr>
            </w:pPr>
          </w:p>
        </w:tc>
        <w:tc>
          <w:tcPr>
            <w:tcW w:w="0" w:type="auto"/>
            <w:vAlign w:val="center"/>
          </w:tcPr>
          <w:p w14:paraId="619D9C7B">
            <w:pPr>
              <w:widowControl/>
              <w:jc w:val="center"/>
              <w:textAlignment w:val="center"/>
              <w:rPr>
                <w:color w:val="000000"/>
                <w:kern w:val="0"/>
                <w:szCs w:val="21"/>
                <w:lang w:bidi="ar"/>
              </w:rPr>
            </w:pPr>
            <w:r>
              <w:rPr>
                <w:color w:val="000000"/>
                <w:szCs w:val="21"/>
              </w:rPr>
              <w:t>医用X射线计算机断层扫描（CT）装置</w:t>
            </w:r>
          </w:p>
        </w:tc>
        <w:tc>
          <w:tcPr>
            <w:tcW w:w="0" w:type="auto"/>
          </w:tcPr>
          <w:p w14:paraId="76890740">
            <w:pPr>
              <w:widowControl/>
              <w:jc w:val="center"/>
              <w:textAlignment w:val="center"/>
              <w:rPr>
                <w:color w:val="000000"/>
                <w:kern w:val="0"/>
                <w:szCs w:val="21"/>
                <w:lang w:bidi="ar"/>
              </w:rPr>
            </w:pPr>
            <w:r>
              <w:rPr>
                <w:color w:val="000000"/>
                <w:szCs w:val="21"/>
              </w:rPr>
              <w:t>III类</w:t>
            </w:r>
          </w:p>
        </w:tc>
        <w:tc>
          <w:tcPr>
            <w:tcW w:w="0" w:type="auto"/>
            <w:vAlign w:val="center"/>
          </w:tcPr>
          <w:p w14:paraId="01E82A06">
            <w:pPr>
              <w:widowControl/>
              <w:jc w:val="center"/>
              <w:textAlignment w:val="center"/>
              <w:rPr>
                <w:color w:val="000000"/>
                <w:kern w:val="0"/>
                <w:szCs w:val="21"/>
                <w:lang w:bidi="ar"/>
              </w:rPr>
            </w:pPr>
            <w:r>
              <w:rPr>
                <w:szCs w:val="21"/>
              </w:rPr>
              <w:t>使用</w:t>
            </w:r>
          </w:p>
        </w:tc>
        <w:tc>
          <w:tcPr>
            <w:tcW w:w="0" w:type="auto"/>
            <w:vAlign w:val="center"/>
          </w:tcPr>
          <w:p w14:paraId="42A0E0C0">
            <w:pPr>
              <w:jc w:val="center"/>
              <w:rPr>
                <w:color w:val="000000"/>
                <w:kern w:val="0"/>
                <w:szCs w:val="21"/>
                <w:lang w:bidi="ar"/>
              </w:rPr>
            </w:pPr>
            <w:r>
              <w:rPr>
                <w:szCs w:val="21"/>
              </w:rPr>
              <w:t>1</w:t>
            </w:r>
          </w:p>
        </w:tc>
        <w:tc>
          <w:tcPr>
            <w:tcW w:w="0" w:type="auto"/>
            <w:vAlign w:val="center"/>
          </w:tcPr>
          <w:p w14:paraId="30DB04EA">
            <w:pPr>
              <w:widowControl/>
              <w:jc w:val="center"/>
              <w:textAlignment w:val="center"/>
              <w:rPr>
                <w:color w:val="000000"/>
                <w:kern w:val="0"/>
                <w:szCs w:val="21"/>
                <w:lang w:bidi="ar"/>
              </w:rPr>
            </w:pPr>
            <w:r>
              <w:rPr>
                <w:color w:val="000000"/>
                <w:kern w:val="0"/>
                <w:szCs w:val="21"/>
                <w:lang w:bidi="ar"/>
              </w:rPr>
              <w:t>双源CT</w:t>
            </w:r>
          </w:p>
        </w:tc>
        <w:tc>
          <w:tcPr>
            <w:tcW w:w="0" w:type="auto"/>
            <w:vAlign w:val="center"/>
          </w:tcPr>
          <w:p w14:paraId="5D584359">
            <w:pPr>
              <w:widowControl/>
              <w:jc w:val="center"/>
              <w:textAlignment w:val="center"/>
              <w:rPr>
                <w:color w:val="000000"/>
                <w:kern w:val="0"/>
                <w:szCs w:val="21"/>
                <w:lang w:bidi="ar"/>
              </w:rPr>
            </w:pPr>
            <w:r>
              <w:rPr>
                <w:color w:val="000000"/>
                <w:kern w:val="0"/>
                <w:szCs w:val="21"/>
                <w:lang w:bidi="ar"/>
              </w:rPr>
              <w:t>SOMATOM Force</w:t>
            </w:r>
          </w:p>
        </w:tc>
        <w:tc>
          <w:tcPr>
            <w:tcW w:w="0" w:type="auto"/>
            <w:vAlign w:val="center"/>
          </w:tcPr>
          <w:p w14:paraId="1E1C8BF8">
            <w:pPr>
              <w:widowControl/>
              <w:jc w:val="center"/>
              <w:textAlignment w:val="center"/>
              <w:rPr>
                <w:color w:val="000000"/>
                <w:kern w:val="0"/>
                <w:szCs w:val="21"/>
                <w:lang w:bidi="ar"/>
              </w:rPr>
            </w:pPr>
            <w:r>
              <w:rPr>
                <w:color w:val="000000"/>
                <w:kern w:val="0"/>
                <w:szCs w:val="21"/>
                <w:lang w:bidi="ar"/>
              </w:rPr>
              <w:t>76172</w:t>
            </w:r>
          </w:p>
        </w:tc>
        <w:tc>
          <w:tcPr>
            <w:tcW w:w="0" w:type="auto"/>
            <w:vAlign w:val="center"/>
          </w:tcPr>
          <w:p w14:paraId="48326C61">
            <w:pPr>
              <w:jc w:val="center"/>
              <w:rPr>
                <w:szCs w:val="21"/>
              </w:rPr>
            </w:pPr>
            <w:r>
              <w:rPr>
                <w:szCs w:val="21"/>
              </w:rPr>
              <w:t>管电压150kV</w:t>
            </w:r>
          </w:p>
          <w:p w14:paraId="5174A36C">
            <w:pPr>
              <w:widowControl/>
              <w:jc w:val="center"/>
              <w:textAlignment w:val="center"/>
              <w:rPr>
                <w:color w:val="000000"/>
                <w:kern w:val="0"/>
                <w:szCs w:val="21"/>
                <w:lang w:bidi="ar"/>
              </w:rPr>
            </w:pPr>
            <w:r>
              <w:rPr>
                <w:szCs w:val="21"/>
              </w:rPr>
              <w:t>管电流2600mA</w:t>
            </w:r>
          </w:p>
        </w:tc>
        <w:tc>
          <w:tcPr>
            <w:tcW w:w="0" w:type="auto"/>
            <w:vAlign w:val="center"/>
          </w:tcPr>
          <w:p w14:paraId="02AE4C71">
            <w:pPr>
              <w:widowControl/>
              <w:jc w:val="center"/>
              <w:textAlignment w:val="center"/>
              <w:rPr>
                <w:color w:val="000000"/>
                <w:kern w:val="0"/>
                <w:szCs w:val="21"/>
                <w:lang w:bidi="ar"/>
              </w:rPr>
            </w:pPr>
            <w:r>
              <w:rPr>
                <w:color w:val="000000"/>
                <w:kern w:val="0"/>
                <w:szCs w:val="21"/>
                <w:lang w:bidi="ar"/>
              </w:rPr>
              <w:t>西门子</w:t>
            </w:r>
          </w:p>
        </w:tc>
      </w:tr>
      <w:tr w14:paraId="22A33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568222C1">
            <w:pPr>
              <w:widowControl/>
              <w:jc w:val="center"/>
              <w:textAlignment w:val="center"/>
              <w:rPr>
                <w:b/>
                <w:color w:val="000000"/>
                <w:kern w:val="0"/>
                <w:szCs w:val="21"/>
                <w:lang w:bidi="ar"/>
              </w:rPr>
            </w:pPr>
            <w:r>
              <w:rPr>
                <w:b/>
                <w:color w:val="000000"/>
                <w:kern w:val="0"/>
                <w:szCs w:val="21"/>
                <w:lang w:bidi="ar"/>
              </w:rPr>
              <w:t>52</w:t>
            </w:r>
          </w:p>
        </w:tc>
        <w:tc>
          <w:tcPr>
            <w:tcW w:w="0" w:type="auto"/>
            <w:vMerge w:val="continue"/>
            <w:vAlign w:val="center"/>
          </w:tcPr>
          <w:p w14:paraId="597C1C81">
            <w:pPr>
              <w:widowControl/>
              <w:jc w:val="center"/>
              <w:textAlignment w:val="center"/>
              <w:rPr>
                <w:color w:val="000000"/>
                <w:kern w:val="0"/>
                <w:szCs w:val="21"/>
                <w:lang w:bidi="ar"/>
              </w:rPr>
            </w:pPr>
          </w:p>
        </w:tc>
        <w:tc>
          <w:tcPr>
            <w:tcW w:w="0" w:type="auto"/>
            <w:vAlign w:val="center"/>
          </w:tcPr>
          <w:p w14:paraId="095E6B44">
            <w:pPr>
              <w:widowControl/>
              <w:jc w:val="center"/>
              <w:textAlignment w:val="center"/>
              <w:rPr>
                <w:color w:val="000000"/>
                <w:kern w:val="0"/>
                <w:szCs w:val="21"/>
                <w:lang w:bidi="ar"/>
              </w:rPr>
            </w:pPr>
            <w:r>
              <w:rPr>
                <w:color w:val="000000"/>
                <w:szCs w:val="21"/>
              </w:rPr>
              <w:t>血管造影用X射线装置</w:t>
            </w:r>
          </w:p>
        </w:tc>
        <w:tc>
          <w:tcPr>
            <w:tcW w:w="0" w:type="auto"/>
          </w:tcPr>
          <w:p w14:paraId="0645C07C">
            <w:pPr>
              <w:widowControl/>
              <w:jc w:val="center"/>
              <w:textAlignment w:val="center"/>
              <w:rPr>
                <w:color w:val="000000"/>
                <w:kern w:val="0"/>
                <w:szCs w:val="21"/>
                <w:lang w:bidi="ar"/>
              </w:rPr>
            </w:pPr>
            <w:r>
              <w:rPr>
                <w:color w:val="000000"/>
                <w:szCs w:val="21"/>
              </w:rPr>
              <w:t>II类</w:t>
            </w:r>
          </w:p>
        </w:tc>
        <w:tc>
          <w:tcPr>
            <w:tcW w:w="0" w:type="auto"/>
            <w:vAlign w:val="center"/>
          </w:tcPr>
          <w:p w14:paraId="3CF6120A">
            <w:pPr>
              <w:widowControl/>
              <w:jc w:val="center"/>
              <w:textAlignment w:val="center"/>
              <w:rPr>
                <w:color w:val="000000"/>
                <w:kern w:val="0"/>
                <w:szCs w:val="21"/>
                <w:lang w:bidi="ar"/>
              </w:rPr>
            </w:pPr>
            <w:r>
              <w:rPr>
                <w:szCs w:val="21"/>
              </w:rPr>
              <w:t>使用</w:t>
            </w:r>
          </w:p>
        </w:tc>
        <w:tc>
          <w:tcPr>
            <w:tcW w:w="0" w:type="auto"/>
            <w:vAlign w:val="center"/>
          </w:tcPr>
          <w:p w14:paraId="471EDDED">
            <w:pPr>
              <w:jc w:val="center"/>
              <w:rPr>
                <w:color w:val="000000"/>
                <w:kern w:val="0"/>
                <w:szCs w:val="21"/>
                <w:lang w:bidi="ar"/>
              </w:rPr>
            </w:pPr>
            <w:r>
              <w:rPr>
                <w:szCs w:val="21"/>
              </w:rPr>
              <w:t>1</w:t>
            </w:r>
          </w:p>
        </w:tc>
        <w:tc>
          <w:tcPr>
            <w:tcW w:w="0" w:type="auto"/>
            <w:vAlign w:val="center"/>
          </w:tcPr>
          <w:p w14:paraId="0634B434">
            <w:pPr>
              <w:widowControl/>
              <w:jc w:val="center"/>
              <w:textAlignment w:val="center"/>
              <w:rPr>
                <w:color w:val="000000"/>
                <w:kern w:val="0"/>
                <w:szCs w:val="21"/>
                <w:lang w:bidi="ar"/>
              </w:rPr>
            </w:pPr>
            <w:r>
              <w:rPr>
                <w:color w:val="000000"/>
                <w:kern w:val="0"/>
                <w:szCs w:val="21"/>
                <w:lang w:bidi="ar"/>
              </w:rPr>
              <w:t>数字减影血管造影系统（DSA）</w:t>
            </w:r>
          </w:p>
        </w:tc>
        <w:tc>
          <w:tcPr>
            <w:tcW w:w="0" w:type="auto"/>
            <w:vAlign w:val="center"/>
          </w:tcPr>
          <w:p w14:paraId="2EF1DFF8">
            <w:pPr>
              <w:widowControl/>
              <w:jc w:val="center"/>
              <w:textAlignment w:val="center"/>
              <w:rPr>
                <w:color w:val="000000"/>
                <w:kern w:val="0"/>
                <w:szCs w:val="21"/>
                <w:lang w:bidi="ar"/>
              </w:rPr>
            </w:pPr>
            <w:r>
              <w:rPr>
                <w:color w:val="000000"/>
                <w:kern w:val="0"/>
                <w:szCs w:val="21"/>
                <w:lang w:bidi="ar"/>
              </w:rPr>
              <w:t>Innava IGS5</w:t>
            </w:r>
          </w:p>
        </w:tc>
        <w:tc>
          <w:tcPr>
            <w:tcW w:w="0" w:type="auto"/>
            <w:vAlign w:val="center"/>
          </w:tcPr>
          <w:p w14:paraId="102A05F6">
            <w:pPr>
              <w:widowControl/>
              <w:jc w:val="center"/>
              <w:textAlignment w:val="center"/>
              <w:rPr>
                <w:color w:val="000000"/>
                <w:kern w:val="0"/>
                <w:szCs w:val="21"/>
                <w:lang w:bidi="ar"/>
              </w:rPr>
            </w:pPr>
            <w:r>
              <w:rPr>
                <w:color w:val="000000"/>
                <w:kern w:val="0"/>
                <w:szCs w:val="21"/>
                <w:lang w:bidi="ar"/>
              </w:rPr>
              <w:t>M4-21-003</w:t>
            </w:r>
          </w:p>
        </w:tc>
        <w:tc>
          <w:tcPr>
            <w:tcW w:w="0" w:type="auto"/>
            <w:vAlign w:val="center"/>
          </w:tcPr>
          <w:p w14:paraId="3733722E">
            <w:pPr>
              <w:jc w:val="center"/>
              <w:rPr>
                <w:szCs w:val="21"/>
              </w:rPr>
            </w:pPr>
            <w:r>
              <w:rPr>
                <w:szCs w:val="21"/>
              </w:rPr>
              <w:t>管电压125kV</w:t>
            </w:r>
          </w:p>
          <w:p w14:paraId="4BB010F2">
            <w:pPr>
              <w:widowControl/>
              <w:jc w:val="center"/>
              <w:textAlignment w:val="center"/>
              <w:rPr>
                <w:color w:val="000000"/>
                <w:kern w:val="0"/>
                <w:szCs w:val="21"/>
                <w:lang w:bidi="ar"/>
              </w:rPr>
            </w:pPr>
            <w:r>
              <w:rPr>
                <w:szCs w:val="21"/>
              </w:rPr>
              <w:t>管电流1000mA</w:t>
            </w:r>
          </w:p>
        </w:tc>
        <w:tc>
          <w:tcPr>
            <w:tcW w:w="0" w:type="auto"/>
            <w:vAlign w:val="center"/>
          </w:tcPr>
          <w:p w14:paraId="3C8703A2">
            <w:pPr>
              <w:widowControl/>
              <w:jc w:val="center"/>
              <w:textAlignment w:val="center"/>
              <w:rPr>
                <w:color w:val="000000"/>
                <w:kern w:val="0"/>
                <w:szCs w:val="21"/>
                <w:lang w:bidi="ar"/>
              </w:rPr>
            </w:pPr>
            <w:r>
              <w:rPr>
                <w:color w:val="000000"/>
                <w:kern w:val="0"/>
                <w:szCs w:val="21"/>
                <w:lang w:bidi="ar"/>
              </w:rPr>
              <w:t>GE</w:t>
            </w:r>
          </w:p>
        </w:tc>
      </w:tr>
      <w:tr w14:paraId="6B0CE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99C7E7B">
            <w:pPr>
              <w:widowControl/>
              <w:jc w:val="center"/>
              <w:textAlignment w:val="center"/>
              <w:rPr>
                <w:b/>
                <w:color w:val="000000"/>
                <w:kern w:val="0"/>
                <w:szCs w:val="21"/>
                <w:lang w:bidi="ar"/>
              </w:rPr>
            </w:pPr>
            <w:r>
              <w:rPr>
                <w:b/>
                <w:color w:val="000000"/>
                <w:kern w:val="0"/>
                <w:szCs w:val="21"/>
                <w:lang w:bidi="ar"/>
              </w:rPr>
              <w:t>53</w:t>
            </w:r>
          </w:p>
        </w:tc>
        <w:tc>
          <w:tcPr>
            <w:tcW w:w="0" w:type="auto"/>
            <w:vMerge w:val="restart"/>
            <w:vAlign w:val="center"/>
          </w:tcPr>
          <w:p w14:paraId="33AD2394">
            <w:pPr>
              <w:widowControl/>
              <w:jc w:val="center"/>
              <w:textAlignment w:val="center"/>
              <w:rPr>
                <w:color w:val="000000"/>
                <w:kern w:val="0"/>
                <w:szCs w:val="21"/>
                <w:lang w:bidi="ar"/>
              </w:rPr>
            </w:pPr>
            <w:r>
              <w:rPr>
                <w:color w:val="000000"/>
                <w:kern w:val="0"/>
                <w:szCs w:val="21"/>
                <w:lang w:bidi="ar"/>
              </w:rPr>
              <w:t>萝岗院区综合楼四楼</w:t>
            </w:r>
          </w:p>
        </w:tc>
        <w:tc>
          <w:tcPr>
            <w:tcW w:w="0" w:type="auto"/>
            <w:vAlign w:val="center"/>
          </w:tcPr>
          <w:p w14:paraId="143AB804">
            <w:pPr>
              <w:widowControl/>
              <w:jc w:val="center"/>
              <w:textAlignment w:val="center"/>
              <w:rPr>
                <w:color w:val="000000"/>
                <w:kern w:val="0"/>
                <w:szCs w:val="21"/>
                <w:lang w:bidi="ar"/>
              </w:rPr>
            </w:pPr>
            <w:r>
              <w:rPr>
                <w:color w:val="000000"/>
                <w:szCs w:val="21"/>
              </w:rPr>
              <w:t>医用诊断X射线装置</w:t>
            </w:r>
          </w:p>
        </w:tc>
        <w:tc>
          <w:tcPr>
            <w:tcW w:w="0" w:type="auto"/>
          </w:tcPr>
          <w:p w14:paraId="2BB21D5D">
            <w:pPr>
              <w:widowControl/>
              <w:jc w:val="center"/>
              <w:textAlignment w:val="center"/>
              <w:rPr>
                <w:color w:val="000000"/>
                <w:kern w:val="0"/>
                <w:szCs w:val="21"/>
                <w:lang w:bidi="ar"/>
              </w:rPr>
            </w:pPr>
            <w:r>
              <w:rPr>
                <w:color w:val="000000"/>
                <w:szCs w:val="21"/>
              </w:rPr>
              <w:t>III类</w:t>
            </w:r>
          </w:p>
        </w:tc>
        <w:tc>
          <w:tcPr>
            <w:tcW w:w="0" w:type="auto"/>
            <w:vAlign w:val="center"/>
          </w:tcPr>
          <w:p w14:paraId="6B1D3D31">
            <w:pPr>
              <w:widowControl/>
              <w:jc w:val="center"/>
              <w:textAlignment w:val="center"/>
              <w:rPr>
                <w:color w:val="000000"/>
                <w:kern w:val="0"/>
                <w:szCs w:val="21"/>
                <w:lang w:bidi="ar"/>
              </w:rPr>
            </w:pPr>
            <w:r>
              <w:rPr>
                <w:szCs w:val="21"/>
              </w:rPr>
              <w:t>使用</w:t>
            </w:r>
          </w:p>
        </w:tc>
        <w:tc>
          <w:tcPr>
            <w:tcW w:w="0" w:type="auto"/>
            <w:vAlign w:val="center"/>
          </w:tcPr>
          <w:p w14:paraId="5BC17AC8">
            <w:pPr>
              <w:jc w:val="center"/>
              <w:rPr>
                <w:color w:val="000000"/>
                <w:kern w:val="0"/>
                <w:szCs w:val="21"/>
                <w:lang w:bidi="ar"/>
              </w:rPr>
            </w:pPr>
            <w:r>
              <w:rPr>
                <w:szCs w:val="21"/>
              </w:rPr>
              <w:t>1</w:t>
            </w:r>
          </w:p>
        </w:tc>
        <w:tc>
          <w:tcPr>
            <w:tcW w:w="0" w:type="auto"/>
            <w:vAlign w:val="center"/>
          </w:tcPr>
          <w:p w14:paraId="28903FC5">
            <w:pPr>
              <w:widowControl/>
              <w:jc w:val="center"/>
              <w:textAlignment w:val="center"/>
              <w:rPr>
                <w:color w:val="000000"/>
                <w:kern w:val="0"/>
                <w:szCs w:val="21"/>
                <w:lang w:bidi="ar"/>
              </w:rPr>
            </w:pPr>
            <w:r>
              <w:rPr>
                <w:color w:val="000000"/>
                <w:kern w:val="0"/>
                <w:szCs w:val="21"/>
                <w:lang w:bidi="ar"/>
              </w:rPr>
              <w:t>C臂机</w:t>
            </w:r>
          </w:p>
        </w:tc>
        <w:tc>
          <w:tcPr>
            <w:tcW w:w="0" w:type="auto"/>
            <w:vAlign w:val="center"/>
          </w:tcPr>
          <w:p w14:paraId="40EB3EBC">
            <w:pPr>
              <w:widowControl/>
              <w:jc w:val="center"/>
              <w:textAlignment w:val="center"/>
              <w:rPr>
                <w:color w:val="000000"/>
                <w:kern w:val="0"/>
                <w:szCs w:val="21"/>
                <w:lang w:bidi="ar"/>
              </w:rPr>
            </w:pPr>
            <w:r>
              <w:rPr>
                <w:color w:val="000000"/>
                <w:kern w:val="0"/>
                <w:szCs w:val="21"/>
                <w:lang w:bidi="ar"/>
              </w:rPr>
              <w:t>Ziehm Vision RFD3D</w:t>
            </w:r>
          </w:p>
        </w:tc>
        <w:tc>
          <w:tcPr>
            <w:tcW w:w="0" w:type="auto"/>
            <w:vAlign w:val="center"/>
          </w:tcPr>
          <w:p w14:paraId="1BD287CB">
            <w:pPr>
              <w:widowControl/>
              <w:jc w:val="center"/>
              <w:textAlignment w:val="center"/>
              <w:rPr>
                <w:color w:val="000000"/>
                <w:kern w:val="0"/>
                <w:szCs w:val="21"/>
                <w:lang w:bidi="ar"/>
              </w:rPr>
            </w:pPr>
            <w:r>
              <w:rPr>
                <w:color w:val="000000"/>
                <w:kern w:val="0"/>
                <w:szCs w:val="21"/>
                <w:lang w:bidi="ar"/>
              </w:rPr>
              <w:t>22198</w:t>
            </w:r>
          </w:p>
        </w:tc>
        <w:tc>
          <w:tcPr>
            <w:tcW w:w="0" w:type="auto"/>
            <w:vAlign w:val="center"/>
          </w:tcPr>
          <w:p w14:paraId="76B033E2">
            <w:pPr>
              <w:jc w:val="center"/>
              <w:rPr>
                <w:szCs w:val="21"/>
              </w:rPr>
            </w:pPr>
            <w:r>
              <w:rPr>
                <w:szCs w:val="21"/>
              </w:rPr>
              <w:t>管电压120kV</w:t>
            </w:r>
          </w:p>
          <w:p w14:paraId="60C36DB2">
            <w:pPr>
              <w:widowControl/>
              <w:jc w:val="center"/>
              <w:textAlignment w:val="center"/>
              <w:rPr>
                <w:color w:val="000000"/>
                <w:kern w:val="0"/>
                <w:szCs w:val="21"/>
                <w:lang w:bidi="ar"/>
              </w:rPr>
            </w:pPr>
            <w:r>
              <w:rPr>
                <w:szCs w:val="21"/>
              </w:rPr>
              <w:t>管电流250mA</w:t>
            </w:r>
          </w:p>
        </w:tc>
        <w:tc>
          <w:tcPr>
            <w:tcW w:w="0" w:type="auto"/>
            <w:vAlign w:val="center"/>
          </w:tcPr>
          <w:p w14:paraId="44542499">
            <w:pPr>
              <w:widowControl/>
              <w:jc w:val="center"/>
              <w:textAlignment w:val="center"/>
              <w:rPr>
                <w:color w:val="000000"/>
                <w:kern w:val="0"/>
                <w:szCs w:val="21"/>
                <w:lang w:bidi="ar"/>
              </w:rPr>
            </w:pPr>
            <w:r>
              <w:rPr>
                <w:color w:val="000000"/>
                <w:kern w:val="0"/>
                <w:szCs w:val="21"/>
                <w:lang w:bidi="ar"/>
              </w:rPr>
              <w:t>德国 奇目</w:t>
            </w:r>
          </w:p>
        </w:tc>
      </w:tr>
      <w:tr w14:paraId="38701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86" w:hRule="atLeast"/>
          <w:jc w:val="center"/>
        </w:trPr>
        <w:tc>
          <w:tcPr>
            <w:tcW w:w="0" w:type="auto"/>
            <w:vAlign w:val="center"/>
          </w:tcPr>
          <w:p w14:paraId="6816A6B9">
            <w:pPr>
              <w:widowControl/>
              <w:jc w:val="center"/>
              <w:textAlignment w:val="center"/>
              <w:rPr>
                <w:b/>
                <w:color w:val="000000"/>
                <w:kern w:val="0"/>
                <w:szCs w:val="21"/>
                <w:lang w:bidi="ar"/>
              </w:rPr>
            </w:pPr>
            <w:r>
              <w:rPr>
                <w:b/>
                <w:color w:val="000000"/>
                <w:kern w:val="0"/>
                <w:szCs w:val="21"/>
                <w:lang w:bidi="ar"/>
              </w:rPr>
              <w:t>54</w:t>
            </w:r>
          </w:p>
        </w:tc>
        <w:tc>
          <w:tcPr>
            <w:tcW w:w="0" w:type="auto"/>
            <w:vMerge w:val="continue"/>
            <w:vAlign w:val="center"/>
          </w:tcPr>
          <w:p w14:paraId="4806EEFC">
            <w:pPr>
              <w:widowControl/>
              <w:jc w:val="center"/>
              <w:textAlignment w:val="center"/>
              <w:rPr>
                <w:color w:val="000000"/>
                <w:kern w:val="0"/>
                <w:szCs w:val="21"/>
                <w:lang w:bidi="ar"/>
              </w:rPr>
            </w:pPr>
          </w:p>
        </w:tc>
        <w:tc>
          <w:tcPr>
            <w:tcW w:w="0" w:type="auto"/>
            <w:vAlign w:val="center"/>
          </w:tcPr>
          <w:p w14:paraId="4D0B02FA">
            <w:pPr>
              <w:widowControl/>
              <w:jc w:val="center"/>
              <w:textAlignment w:val="center"/>
              <w:rPr>
                <w:color w:val="000000"/>
                <w:kern w:val="0"/>
                <w:szCs w:val="21"/>
                <w:lang w:bidi="ar"/>
              </w:rPr>
            </w:pPr>
            <w:r>
              <w:rPr>
                <w:color w:val="000000"/>
                <w:szCs w:val="21"/>
              </w:rPr>
              <w:t>医用诊断X射线装置</w:t>
            </w:r>
          </w:p>
        </w:tc>
        <w:tc>
          <w:tcPr>
            <w:tcW w:w="0" w:type="auto"/>
          </w:tcPr>
          <w:p w14:paraId="3A7E0AF6">
            <w:pPr>
              <w:widowControl/>
              <w:jc w:val="center"/>
              <w:textAlignment w:val="center"/>
              <w:rPr>
                <w:color w:val="000000"/>
                <w:kern w:val="0"/>
                <w:szCs w:val="21"/>
                <w:lang w:bidi="ar"/>
              </w:rPr>
            </w:pPr>
            <w:r>
              <w:rPr>
                <w:color w:val="000000"/>
                <w:szCs w:val="21"/>
              </w:rPr>
              <w:t>III类</w:t>
            </w:r>
          </w:p>
        </w:tc>
        <w:tc>
          <w:tcPr>
            <w:tcW w:w="0" w:type="auto"/>
            <w:vAlign w:val="center"/>
          </w:tcPr>
          <w:p w14:paraId="1077468D">
            <w:pPr>
              <w:widowControl/>
              <w:jc w:val="center"/>
              <w:textAlignment w:val="center"/>
              <w:rPr>
                <w:color w:val="000000"/>
                <w:kern w:val="0"/>
                <w:szCs w:val="21"/>
                <w:lang w:bidi="ar"/>
              </w:rPr>
            </w:pPr>
            <w:r>
              <w:rPr>
                <w:szCs w:val="21"/>
              </w:rPr>
              <w:t>使用</w:t>
            </w:r>
          </w:p>
        </w:tc>
        <w:tc>
          <w:tcPr>
            <w:tcW w:w="0" w:type="auto"/>
            <w:vAlign w:val="center"/>
          </w:tcPr>
          <w:p w14:paraId="4ADA5821">
            <w:pPr>
              <w:jc w:val="center"/>
              <w:rPr>
                <w:color w:val="000000"/>
                <w:kern w:val="0"/>
                <w:szCs w:val="21"/>
                <w:lang w:bidi="ar"/>
              </w:rPr>
            </w:pPr>
            <w:r>
              <w:rPr>
                <w:szCs w:val="21"/>
              </w:rPr>
              <w:t>1</w:t>
            </w:r>
          </w:p>
        </w:tc>
        <w:tc>
          <w:tcPr>
            <w:tcW w:w="0" w:type="auto"/>
            <w:vAlign w:val="center"/>
          </w:tcPr>
          <w:p w14:paraId="3573B9B7">
            <w:pPr>
              <w:widowControl/>
              <w:jc w:val="center"/>
              <w:textAlignment w:val="center"/>
              <w:rPr>
                <w:color w:val="000000"/>
                <w:kern w:val="0"/>
                <w:szCs w:val="21"/>
                <w:lang w:bidi="ar"/>
              </w:rPr>
            </w:pPr>
            <w:r>
              <w:rPr>
                <w:color w:val="000000"/>
                <w:kern w:val="0"/>
                <w:szCs w:val="21"/>
                <w:lang w:bidi="ar"/>
              </w:rPr>
              <w:t>C臂机</w:t>
            </w:r>
          </w:p>
        </w:tc>
        <w:tc>
          <w:tcPr>
            <w:tcW w:w="0" w:type="auto"/>
            <w:vAlign w:val="center"/>
          </w:tcPr>
          <w:p w14:paraId="33A85F26">
            <w:pPr>
              <w:widowControl/>
              <w:jc w:val="center"/>
              <w:textAlignment w:val="center"/>
              <w:rPr>
                <w:color w:val="000000"/>
                <w:kern w:val="0"/>
                <w:szCs w:val="21"/>
                <w:lang w:bidi="ar"/>
              </w:rPr>
            </w:pPr>
            <w:r>
              <w:rPr>
                <w:color w:val="000000"/>
                <w:kern w:val="0"/>
                <w:szCs w:val="21"/>
                <w:lang w:bidi="ar"/>
              </w:rPr>
              <w:t>Ziehm 8000</w:t>
            </w:r>
          </w:p>
        </w:tc>
        <w:tc>
          <w:tcPr>
            <w:tcW w:w="0" w:type="auto"/>
            <w:vAlign w:val="center"/>
          </w:tcPr>
          <w:p w14:paraId="5D56FB16">
            <w:pPr>
              <w:widowControl/>
              <w:jc w:val="center"/>
              <w:textAlignment w:val="center"/>
              <w:rPr>
                <w:color w:val="000000"/>
                <w:kern w:val="0"/>
                <w:szCs w:val="21"/>
                <w:lang w:bidi="ar"/>
              </w:rPr>
            </w:pPr>
            <w:r>
              <w:rPr>
                <w:color w:val="000000"/>
                <w:kern w:val="0"/>
                <w:szCs w:val="21"/>
                <w:lang w:bidi="ar"/>
              </w:rPr>
              <w:t>80629</w:t>
            </w:r>
          </w:p>
        </w:tc>
        <w:tc>
          <w:tcPr>
            <w:tcW w:w="0" w:type="auto"/>
            <w:vAlign w:val="center"/>
          </w:tcPr>
          <w:p w14:paraId="6CEB635D">
            <w:pPr>
              <w:jc w:val="center"/>
              <w:rPr>
                <w:szCs w:val="21"/>
              </w:rPr>
            </w:pPr>
            <w:r>
              <w:rPr>
                <w:szCs w:val="21"/>
              </w:rPr>
              <w:t>管电压110kV</w:t>
            </w:r>
          </w:p>
          <w:p w14:paraId="1D4FE7F7">
            <w:pPr>
              <w:widowControl/>
              <w:jc w:val="center"/>
              <w:textAlignment w:val="center"/>
              <w:rPr>
                <w:color w:val="000000"/>
                <w:kern w:val="0"/>
                <w:szCs w:val="21"/>
                <w:lang w:bidi="ar"/>
              </w:rPr>
            </w:pPr>
            <w:r>
              <w:rPr>
                <w:szCs w:val="21"/>
              </w:rPr>
              <w:t>管电流8mA</w:t>
            </w:r>
          </w:p>
        </w:tc>
        <w:tc>
          <w:tcPr>
            <w:tcW w:w="0" w:type="auto"/>
            <w:vAlign w:val="center"/>
          </w:tcPr>
          <w:p w14:paraId="1D82A7E7">
            <w:pPr>
              <w:widowControl/>
              <w:jc w:val="center"/>
              <w:textAlignment w:val="center"/>
              <w:rPr>
                <w:color w:val="000000"/>
                <w:kern w:val="0"/>
                <w:szCs w:val="21"/>
                <w:lang w:bidi="ar"/>
              </w:rPr>
            </w:pPr>
            <w:r>
              <w:rPr>
                <w:color w:val="000000"/>
                <w:kern w:val="0"/>
                <w:szCs w:val="21"/>
                <w:lang w:bidi="ar"/>
              </w:rPr>
              <w:t>德国 奇目</w:t>
            </w:r>
          </w:p>
        </w:tc>
      </w:tr>
    </w:tbl>
    <w:p w14:paraId="717A53A5">
      <w:pPr>
        <w:jc w:val="center"/>
        <w:rPr>
          <w:szCs w:val="21"/>
        </w:rPr>
      </w:pPr>
    </w:p>
    <w:p w14:paraId="62B2E86E">
      <w:pPr>
        <w:jc w:val="center"/>
        <w:rPr>
          <w:szCs w:val="21"/>
        </w:rPr>
      </w:pPr>
    </w:p>
    <w:p w14:paraId="58FC0301">
      <w:pPr>
        <w:jc w:val="center"/>
        <w:rPr>
          <w:szCs w:val="21"/>
        </w:rPr>
        <w:sectPr>
          <w:pgSz w:w="16838" w:h="11906" w:orient="landscape"/>
          <w:pgMar w:top="1800" w:right="1440" w:bottom="1800" w:left="1440" w:header="851" w:footer="283" w:gutter="0"/>
          <w:cols w:space="720" w:num="1"/>
          <w:docGrid w:type="lines" w:linePitch="312" w:charSpace="0"/>
        </w:sectPr>
      </w:pPr>
    </w:p>
    <w:p w14:paraId="05BE8A35">
      <w:pPr>
        <w:pStyle w:val="5"/>
        <w:tabs>
          <w:tab w:val="clear" w:pos="864"/>
        </w:tabs>
        <w:ind w:left="862" w:hanging="862"/>
      </w:pPr>
      <w:r>
        <w:rPr>
          <w:lang w:eastAsia="zh-CN"/>
        </w:rPr>
        <w:t>辐射安全管理现状</w:t>
      </w:r>
    </w:p>
    <w:p w14:paraId="3E85DA42">
      <w:pPr>
        <w:pStyle w:val="8"/>
      </w:pPr>
      <w:r>
        <w:t>（1）辐射安全管理机构</w:t>
      </w:r>
    </w:p>
    <w:p w14:paraId="09E96E39">
      <w:pPr>
        <w:pStyle w:val="8"/>
      </w:pPr>
      <w:r>
        <w:t>医院目前已成立了辐射与放射安全质量管理委员会，专职负责辐射安全与防护相关工作。</w:t>
      </w:r>
    </w:p>
    <w:p w14:paraId="05F83585">
      <w:pPr>
        <w:pStyle w:val="8"/>
        <w:rPr>
          <w:lang w:eastAsia="zh-CN"/>
        </w:rPr>
      </w:pPr>
      <w:r>
        <w:t>（2）辐射</w:t>
      </w:r>
      <w:r>
        <w:rPr>
          <w:lang w:eastAsia="zh-CN"/>
        </w:rPr>
        <w:t>安全管理规章制度</w:t>
      </w:r>
    </w:p>
    <w:p w14:paraId="5C21000C">
      <w:pPr>
        <w:pStyle w:val="8"/>
        <w:rPr>
          <w:lang w:eastAsia="zh-CN"/>
        </w:rPr>
      </w:pPr>
      <w:r>
        <w:t>中山大学附属第三医院岭南医院认真贯彻执行国家和地方有关环保的政策、法律和法规，印发了《中山大学附属第三医院放射工作人员职业健康监护及档案管理办法》、《中山大学附属第三医院放射危害宣传教育培训管理办法》、《中山大学附属第三医院放射危害警示与告知管理办法》、《中山大学附属第三医院放射防护用品使用登记管理办法》等规章制度，其中涉及放射工作人员管理制度、射线装置定期检查与维护制度以及放射事故应急处理规定，所有操作人员均应取得辐射工作人员岗位培训合格证</w:t>
      </w:r>
      <w:r>
        <w:rPr>
          <w:lang w:eastAsia="zh-CN"/>
        </w:rPr>
        <w:t>。</w:t>
      </w:r>
    </w:p>
    <w:p w14:paraId="6A08CE05">
      <w:pPr>
        <w:pStyle w:val="8"/>
      </w:pPr>
      <w:r>
        <w:rPr>
          <w:lang w:eastAsia="zh-CN"/>
        </w:rPr>
        <w:t>（3）辐射工作人员培训情况</w:t>
      </w:r>
    </w:p>
    <w:p w14:paraId="28F2CDA4">
      <w:pPr>
        <w:pStyle w:val="8"/>
        <w:rPr>
          <w:lang w:val="en-US" w:eastAsia="zh-CN"/>
        </w:rPr>
      </w:pPr>
      <w:r>
        <w:rPr>
          <w:lang w:val="en-US" w:eastAsia="zh-CN"/>
        </w:rPr>
        <w:t>医院印发了《中山大学附属第三医院放射危害宣传教育培训管理办法》，规定放射工作人员上岗前应当接受放射防护培训，经考核合格方可参加相应的工作。放射工作人员在岗期间应定期接受再培训及考核，两次培训及考核的时间间隔不超过2年。</w:t>
      </w:r>
    </w:p>
    <w:p w14:paraId="2E94376A">
      <w:pPr>
        <w:pStyle w:val="8"/>
        <w:rPr>
          <w:lang w:val="en-US" w:eastAsia="zh-CN"/>
        </w:rPr>
      </w:pPr>
      <w:r>
        <w:rPr>
          <w:lang w:val="en-US" w:eastAsia="zh-CN"/>
        </w:rPr>
        <w:t>（4）个人剂量及职业健康管理</w:t>
      </w:r>
    </w:p>
    <w:p w14:paraId="22C70BAC">
      <w:pPr>
        <w:pStyle w:val="8"/>
      </w:pPr>
      <w:r>
        <w:rPr>
          <w:lang w:val="en-US" w:eastAsia="zh-CN"/>
        </w:rPr>
        <w:t>医院印发了《中山大学附属第三医院放射工作人员职业健康监护及档案管理办法》，其中涉及委托有资质单位对从事放射诊疗工作人员进行个人剂量监测（监测周期为3个月），且会对剂量监测结果长期保存</w:t>
      </w:r>
      <w:r>
        <w:t>。</w:t>
      </w:r>
    </w:p>
    <w:p w14:paraId="631EA25D">
      <w:pPr>
        <w:pStyle w:val="8"/>
        <w:rPr>
          <w:lang w:val="en-US" w:eastAsia="zh-CN"/>
        </w:rPr>
      </w:pPr>
      <w:r>
        <w:rPr>
          <w:lang w:val="en-US" w:eastAsia="zh-CN"/>
        </w:rPr>
        <w:t>（5）工作场所及环境监测</w:t>
      </w:r>
    </w:p>
    <w:p w14:paraId="2669F71A">
      <w:pPr>
        <w:pStyle w:val="8"/>
        <w:rPr>
          <w:lang w:eastAsia="zh-CN" w:bidi="en-US"/>
        </w:rPr>
      </w:pPr>
      <w:r>
        <w:rPr>
          <w:lang w:bidi="en-US"/>
        </w:rPr>
        <w:t>中山大学附属第三医院岭南医院每年均委托有辐射环境监测资质单位对放射影像工作场所及周围环境进行监测，监测结果长期保存，并抄送广州市环境保护局存档。</w:t>
      </w:r>
    </w:p>
    <w:p w14:paraId="3FF35BD9">
      <w:pPr>
        <w:pStyle w:val="8"/>
        <w:rPr>
          <w:lang w:eastAsia="zh-CN" w:bidi="en-US"/>
        </w:rPr>
      </w:pPr>
      <w:r>
        <w:rPr>
          <w:lang w:eastAsia="zh-CN" w:bidi="en-US"/>
        </w:rPr>
        <w:t>（6）辐射事故应急</w:t>
      </w:r>
    </w:p>
    <w:p w14:paraId="155643D5">
      <w:pPr>
        <w:pStyle w:val="8"/>
      </w:pPr>
      <w:r>
        <w:t>医院已根据《放射性同位素与射线装置安全和防护条例》（国务院令第709号，2019年3月2日修正版）、原国家环保总局《关于建立放射性同位素与射线装置辐射事故分级处理和报告制度的通知》（环发【2006】145 号）及《突发环境事件信息报告办法》（环保部令第17 号）等的有关规定，制定了《中山大学附属第三医院放射事故应急预案》，内容较为详实，可操作性较强，基本满足要求。医院2024年未发生任何辐射安全事故。</w:t>
      </w:r>
    </w:p>
    <w:p w14:paraId="448EECD0">
      <w:pPr>
        <w:pStyle w:val="8"/>
        <w:rPr>
          <w:lang w:eastAsia="zh-CN" w:bidi="en-US"/>
        </w:rPr>
      </w:pPr>
      <w:r>
        <w:rPr>
          <w:lang w:eastAsia="zh-CN" w:bidi="en-US"/>
        </w:rPr>
        <w:t>（7）监督检查整改意见落实情况</w:t>
      </w:r>
    </w:p>
    <w:p w14:paraId="508F4CED">
      <w:pPr>
        <w:pStyle w:val="8"/>
        <w:rPr>
          <w:lang w:eastAsia="zh-CN" w:bidi="en-US"/>
        </w:rPr>
      </w:pPr>
      <w:r>
        <w:rPr>
          <w:lang w:eastAsia="zh-CN" w:bidi="en-US"/>
        </w:rPr>
        <w:t>医院积极配合广东省生态环境厅等监管部门的现场检查。针对监督检查中提出的整改项目，按要求进行了整改，并提交了正式的整改报告。</w:t>
      </w:r>
    </w:p>
    <w:p w14:paraId="25DB01A1">
      <w:pPr>
        <w:pStyle w:val="3"/>
        <w:rPr>
          <w:rFonts w:ascii="Times New Roman" w:hAnsi="Times New Roman" w:eastAsia="宋体"/>
          <w:b/>
          <w:bCs w:val="0"/>
          <w:sz w:val="28"/>
          <w:szCs w:val="28"/>
        </w:rPr>
      </w:pPr>
      <w:bookmarkStart w:id="202" w:name="_Toc209125186"/>
      <w:r>
        <w:rPr>
          <w:rFonts w:ascii="Times New Roman" w:hAnsi="Times New Roman" w:eastAsia="宋体"/>
          <w:b/>
          <w:bCs w:val="0"/>
          <w:sz w:val="28"/>
          <w:szCs w:val="28"/>
        </w:rPr>
        <w:t>编制依据</w:t>
      </w:r>
      <w:bookmarkEnd w:id="186"/>
      <w:bookmarkEnd w:id="187"/>
      <w:bookmarkEnd w:id="188"/>
      <w:bookmarkEnd w:id="202"/>
    </w:p>
    <w:p w14:paraId="5DDA31F0">
      <w:pPr>
        <w:pStyle w:val="4"/>
        <w:rPr>
          <w:rFonts w:eastAsia="宋体"/>
          <w:b/>
          <w:bCs w:val="0"/>
          <w:lang w:eastAsia="zh-CN"/>
        </w:rPr>
      </w:pPr>
      <w:bookmarkStart w:id="203" w:name="_Toc34738556"/>
      <w:bookmarkStart w:id="204" w:name="_Toc209125187"/>
      <w:bookmarkStart w:id="205" w:name="_Toc71554446"/>
      <w:r>
        <w:rPr>
          <w:rFonts w:eastAsia="宋体"/>
          <w:b/>
          <w:bCs w:val="0"/>
        </w:rPr>
        <w:t>法律、法规和规章</w:t>
      </w:r>
      <w:bookmarkEnd w:id="203"/>
      <w:bookmarkEnd w:id="204"/>
      <w:bookmarkEnd w:id="205"/>
    </w:p>
    <w:p w14:paraId="796DCAE1">
      <w:pPr>
        <w:pStyle w:val="8"/>
        <w:numPr>
          <w:ilvl w:val="0"/>
          <w:numId w:val="6"/>
        </w:numPr>
        <w:ind w:firstLine="480"/>
        <w:rPr>
          <w:kern w:val="0"/>
        </w:rPr>
      </w:pPr>
      <w:r>
        <w:t>《中华人民共和国环境保护法》（中华人民共和国主席令</w:t>
      </w:r>
      <w:r>
        <w:rPr>
          <w:lang w:eastAsia="zh-CN"/>
        </w:rPr>
        <w:t xml:space="preserve"> </w:t>
      </w:r>
      <w:r>
        <w:t>第</w:t>
      </w:r>
      <w:r>
        <w:rPr>
          <w:lang w:eastAsia="zh-CN"/>
        </w:rPr>
        <w:t>9号，</w:t>
      </w:r>
      <w:r>
        <w:t>2015年1月1日施行）；</w:t>
      </w:r>
    </w:p>
    <w:p w14:paraId="040D135A">
      <w:pPr>
        <w:pStyle w:val="8"/>
        <w:numPr>
          <w:ilvl w:val="0"/>
          <w:numId w:val="6"/>
        </w:numPr>
        <w:ind w:firstLine="480"/>
      </w:pPr>
      <w:r>
        <w:t>《中华人民共和国环境影响评价法》（全国人民代表大会常务委员会</w:t>
      </w:r>
      <w:r>
        <w:rPr>
          <w:lang w:eastAsia="zh-CN"/>
        </w:rPr>
        <w:t>，</w:t>
      </w:r>
      <w:r>
        <w:t>2018年12月29日施行）；</w:t>
      </w:r>
    </w:p>
    <w:p w14:paraId="04AC0FAF">
      <w:pPr>
        <w:pStyle w:val="8"/>
        <w:numPr>
          <w:ilvl w:val="0"/>
          <w:numId w:val="6"/>
        </w:numPr>
        <w:ind w:firstLine="480"/>
      </w:pPr>
      <w:r>
        <w:t>《中华人民共和国放射性污染防治法》（中华人民共和国主席令</w:t>
      </w:r>
      <w:r>
        <w:rPr>
          <w:lang w:eastAsia="zh-CN"/>
        </w:rPr>
        <w:t xml:space="preserve"> </w:t>
      </w:r>
      <w:r>
        <w:t>第</w:t>
      </w:r>
      <w:r>
        <w:rPr>
          <w:lang w:eastAsia="zh-CN"/>
        </w:rPr>
        <w:t>6号，</w:t>
      </w:r>
      <w:r>
        <w:t>2003年10月1日）；</w:t>
      </w:r>
    </w:p>
    <w:p w14:paraId="57E25196">
      <w:pPr>
        <w:pStyle w:val="8"/>
        <w:numPr>
          <w:ilvl w:val="0"/>
          <w:numId w:val="6"/>
        </w:numPr>
        <w:ind w:firstLine="480"/>
      </w:pPr>
      <w:r>
        <w:t>《放射性同位素与射线装置安全和防护条例》（</w:t>
      </w:r>
      <w:r>
        <w:rPr>
          <w:lang w:eastAsia="zh-CN"/>
        </w:rPr>
        <w:t>2005年9月14日中华人民共和国国务院令第449号公布 根据2014年7月29日《国务院关于修改部分行政法规的决定》第一次修订 根据2019年3月2日《国务院关于修改部分行政法规的决定》第二次修订</w:t>
      </w:r>
      <w:r>
        <w:t>）；</w:t>
      </w:r>
    </w:p>
    <w:p w14:paraId="2060DD5B">
      <w:pPr>
        <w:pStyle w:val="8"/>
        <w:numPr>
          <w:ilvl w:val="0"/>
          <w:numId w:val="6"/>
        </w:numPr>
        <w:ind w:firstLine="480"/>
      </w:pPr>
      <w:r>
        <w:t>《放射性同位素与射线装置安全许可管理办法》（2006年1月18日环境保护总局令第31号公布 2008年12月6日环境保护部令第3号第一次修正 根据2017年12月20日《环境保护部关于修改部分规章的决定》第二次修正 根据2019年8月22日《生态环境部关于废止、修改部分规章的决定》第三次修正 根据2021年1月4日《关于废止、修改部分生态环境规章和规范性文件的决定》第四次修正）；</w:t>
      </w:r>
    </w:p>
    <w:p w14:paraId="3F18BB2F">
      <w:pPr>
        <w:pStyle w:val="8"/>
        <w:numPr>
          <w:ilvl w:val="0"/>
          <w:numId w:val="6"/>
        </w:numPr>
        <w:ind w:firstLine="480"/>
      </w:pPr>
      <w:r>
        <w:t>《放射性同位素与射线装置安全和防护管理办法》（环境保护部令</w:t>
      </w:r>
      <w:r>
        <w:rPr>
          <w:lang w:eastAsia="zh-CN"/>
        </w:rPr>
        <w:t xml:space="preserve"> </w:t>
      </w:r>
      <w:r>
        <w:t>第18号，2011年5月1日施行）；</w:t>
      </w:r>
    </w:p>
    <w:p w14:paraId="32D1CCB9">
      <w:pPr>
        <w:pStyle w:val="8"/>
        <w:numPr>
          <w:ilvl w:val="0"/>
          <w:numId w:val="6"/>
        </w:numPr>
        <w:ind w:firstLine="480"/>
      </w:pPr>
      <w:r>
        <w:rPr>
          <w:lang w:eastAsia="zh-CN"/>
        </w:rPr>
        <w:t>《</w:t>
      </w:r>
      <w:r>
        <w:t>关于发布</w:t>
      </w:r>
      <w:r>
        <w:rPr>
          <w:lang w:eastAsia="zh-CN"/>
        </w:rPr>
        <w:t>&lt;</w:t>
      </w:r>
      <w:r>
        <w:t>射线装置分类</w:t>
      </w:r>
      <w:r>
        <w:rPr>
          <w:lang w:eastAsia="zh-CN"/>
        </w:rPr>
        <w:t>&gt;</w:t>
      </w:r>
      <w:r>
        <w:t>的公告》（环境保护部 国家卫生和计划生育委员会公告 2017年第66号</w:t>
      </w:r>
      <w:r>
        <w:rPr>
          <w:lang w:eastAsia="zh-CN"/>
        </w:rPr>
        <w:t>，2017年12月5日</w:t>
      </w:r>
      <w:r>
        <w:t>）；</w:t>
      </w:r>
    </w:p>
    <w:p w14:paraId="35A79619">
      <w:pPr>
        <w:pStyle w:val="8"/>
        <w:numPr>
          <w:ilvl w:val="0"/>
          <w:numId w:val="6"/>
        </w:numPr>
        <w:ind w:firstLine="480"/>
      </w:pPr>
      <w:r>
        <w:t>《建设项目环境保护管理条例》（国务院令</w:t>
      </w:r>
      <w:r>
        <w:rPr>
          <w:lang w:eastAsia="zh-CN"/>
        </w:rPr>
        <w:t xml:space="preserve"> </w:t>
      </w:r>
      <w:r>
        <w:t>第682号，2017年10月1日起施行）；</w:t>
      </w:r>
    </w:p>
    <w:p w14:paraId="7935FC18">
      <w:pPr>
        <w:pStyle w:val="8"/>
        <w:numPr>
          <w:ilvl w:val="0"/>
          <w:numId w:val="6"/>
        </w:numPr>
        <w:ind w:firstLine="480"/>
      </w:pPr>
      <w:r>
        <w:rPr>
          <w:lang w:eastAsia="zh-CN"/>
        </w:rPr>
        <w:t>《</w:t>
      </w:r>
      <w:r>
        <w:t>建设项目环境影响评价分类管理名录（2021年版）》（生态环境部令 第16号，2021年1月1日起施行）；</w:t>
      </w:r>
    </w:p>
    <w:p w14:paraId="27151BB5">
      <w:pPr>
        <w:pStyle w:val="8"/>
        <w:numPr>
          <w:ilvl w:val="0"/>
          <w:numId w:val="6"/>
        </w:numPr>
        <w:ind w:firstLine="480"/>
        <w:rPr>
          <w:lang w:eastAsia="zh-CN"/>
        </w:rPr>
      </w:pPr>
      <w:r>
        <w:t>《产业结构调整指导目录》（2024年本）</w:t>
      </w:r>
      <w:r>
        <w:rPr>
          <w:lang w:eastAsia="zh-CN"/>
        </w:rPr>
        <w:t>；</w:t>
      </w:r>
    </w:p>
    <w:p w14:paraId="6FD4B350">
      <w:pPr>
        <w:pStyle w:val="8"/>
        <w:numPr>
          <w:ilvl w:val="0"/>
          <w:numId w:val="6"/>
        </w:numPr>
        <w:ind w:firstLine="480"/>
        <w:rPr>
          <w:lang w:eastAsia="zh-CN"/>
        </w:rPr>
      </w:pPr>
      <w:r>
        <w:rPr>
          <w:lang w:eastAsia="zh-CN"/>
        </w:rPr>
        <w:t>《建设项目环境影响报告书（表）编制监督管理办法》（生态环境部令 第9号，2019年11月1日）；</w:t>
      </w:r>
    </w:p>
    <w:p w14:paraId="4DEFE59E">
      <w:pPr>
        <w:pStyle w:val="8"/>
        <w:numPr>
          <w:ilvl w:val="0"/>
          <w:numId w:val="6"/>
        </w:numPr>
        <w:ind w:firstLine="480"/>
      </w:pPr>
      <w:r>
        <w:t>《关于核技术利用辐射安全与防护培训和考核有关事项的公告》（生态环境部公告2019年第57号，2019年12月23日）；</w:t>
      </w:r>
    </w:p>
    <w:p w14:paraId="1E86561D">
      <w:pPr>
        <w:pStyle w:val="8"/>
        <w:numPr>
          <w:ilvl w:val="0"/>
          <w:numId w:val="6"/>
        </w:numPr>
        <w:ind w:firstLine="480"/>
      </w:pPr>
      <w:r>
        <w:t>《发布&lt;建设项目竣工环境保护验收暂行办法&gt;的公告</w:t>
      </w:r>
      <w:r>
        <w:rPr>
          <w:lang w:eastAsia="zh-CN"/>
        </w:rPr>
        <w:t>》</w:t>
      </w:r>
      <w:r>
        <w:t>（国环规环评[2017]4号，2017年11月22日起施行）</w:t>
      </w:r>
      <w:r>
        <w:rPr>
          <w:lang w:eastAsia="zh-CN"/>
        </w:rPr>
        <w:t>；</w:t>
      </w:r>
    </w:p>
    <w:p w14:paraId="37DDC5D9">
      <w:pPr>
        <w:pStyle w:val="8"/>
        <w:numPr>
          <w:ilvl w:val="0"/>
          <w:numId w:val="6"/>
        </w:numPr>
        <w:ind w:firstLine="480"/>
      </w:pPr>
      <w:bookmarkStart w:id="206" w:name="_Hlk208837653"/>
      <w:r>
        <w:rPr>
          <w:lang w:eastAsia="zh-CN"/>
        </w:rPr>
        <w:t>《广东省环境保护条例》（2022年11月30日修订）；</w:t>
      </w:r>
    </w:p>
    <w:p w14:paraId="4CA6020F">
      <w:pPr>
        <w:pStyle w:val="8"/>
        <w:numPr>
          <w:ilvl w:val="0"/>
          <w:numId w:val="6"/>
        </w:numPr>
        <w:ind w:firstLine="480"/>
      </w:pPr>
      <w:r>
        <w:rPr>
          <w:lang w:eastAsia="zh-CN"/>
        </w:rPr>
        <w:t>《广东省未成年人保护条例》（2008年11月28日修订）</w:t>
      </w:r>
      <w:bookmarkEnd w:id="206"/>
      <w:r>
        <w:rPr>
          <w:lang w:eastAsia="zh-CN"/>
        </w:rPr>
        <w:t>。</w:t>
      </w:r>
    </w:p>
    <w:p w14:paraId="5A5C1C6E">
      <w:pPr>
        <w:pStyle w:val="4"/>
        <w:rPr>
          <w:rFonts w:eastAsia="宋体"/>
          <w:b/>
          <w:bCs w:val="0"/>
        </w:rPr>
      </w:pPr>
      <w:bookmarkStart w:id="207" w:name="_Toc34298307"/>
      <w:bookmarkEnd w:id="207"/>
      <w:bookmarkStart w:id="208" w:name="_Toc23846481"/>
      <w:bookmarkEnd w:id="208"/>
      <w:bookmarkStart w:id="209" w:name="_Toc24548607"/>
      <w:bookmarkEnd w:id="209"/>
      <w:bookmarkStart w:id="210" w:name="_Toc23257584"/>
      <w:bookmarkEnd w:id="210"/>
      <w:bookmarkStart w:id="211" w:name="_Toc24548606"/>
      <w:bookmarkEnd w:id="211"/>
      <w:bookmarkStart w:id="212" w:name="_Toc34298308"/>
      <w:bookmarkEnd w:id="212"/>
      <w:bookmarkStart w:id="213" w:name="_Toc21597442"/>
      <w:bookmarkEnd w:id="213"/>
      <w:bookmarkStart w:id="214" w:name="_Toc23257583"/>
      <w:bookmarkEnd w:id="214"/>
      <w:bookmarkStart w:id="215" w:name="_Toc23952631"/>
      <w:bookmarkEnd w:id="215"/>
      <w:bookmarkStart w:id="216" w:name="_Toc21597441"/>
      <w:bookmarkEnd w:id="216"/>
      <w:bookmarkStart w:id="217" w:name="_Toc21622191"/>
      <w:bookmarkEnd w:id="217"/>
      <w:bookmarkStart w:id="218" w:name="_Toc23846482"/>
      <w:bookmarkEnd w:id="218"/>
      <w:bookmarkStart w:id="219" w:name="_Toc21622190"/>
      <w:bookmarkEnd w:id="219"/>
      <w:bookmarkStart w:id="220" w:name="_Toc23952632"/>
      <w:bookmarkEnd w:id="220"/>
      <w:bookmarkStart w:id="221" w:name="_Toc34738557"/>
      <w:bookmarkStart w:id="222" w:name="_Toc71554447"/>
      <w:bookmarkStart w:id="223" w:name="_Toc209125188"/>
      <w:r>
        <w:rPr>
          <w:rFonts w:eastAsia="宋体"/>
          <w:b/>
          <w:bCs w:val="0"/>
        </w:rPr>
        <w:t>技术导则、标准</w:t>
      </w:r>
      <w:bookmarkEnd w:id="221"/>
      <w:bookmarkEnd w:id="222"/>
      <w:bookmarkEnd w:id="223"/>
    </w:p>
    <w:p w14:paraId="04BB37F2">
      <w:pPr>
        <w:pStyle w:val="8"/>
        <w:numPr>
          <w:ilvl w:val="0"/>
          <w:numId w:val="7"/>
        </w:numPr>
        <w:ind w:firstLine="480"/>
        <w:rPr>
          <w:kern w:val="0"/>
        </w:rPr>
      </w:pPr>
      <w:bookmarkStart w:id="224" w:name="_Hlk176354836"/>
      <w:r>
        <w:t>《电离辐射防护与辐射源安全基本标准》（GB 18871-2002）；</w:t>
      </w:r>
    </w:p>
    <w:p w14:paraId="1D5DF5D7">
      <w:pPr>
        <w:pStyle w:val="8"/>
        <w:numPr>
          <w:ilvl w:val="0"/>
          <w:numId w:val="7"/>
        </w:numPr>
        <w:ind w:firstLine="480"/>
        <w:rPr>
          <w:lang w:eastAsia="zh-CN"/>
        </w:rPr>
      </w:pPr>
      <w:r>
        <w:rPr>
          <w:lang w:eastAsia="zh-CN"/>
        </w:rPr>
        <w:t>《放射治疗机房的辐射屏蔽规范 第1部分：一般原则》（GBZ/T 201.1- 2007）；</w:t>
      </w:r>
    </w:p>
    <w:p w14:paraId="38ACF20D">
      <w:pPr>
        <w:pStyle w:val="8"/>
        <w:numPr>
          <w:ilvl w:val="0"/>
          <w:numId w:val="7"/>
        </w:numPr>
        <w:ind w:firstLine="480"/>
      </w:pPr>
      <w:r>
        <w:t>《放射治疗机房的辐射屏蔽规范 第5部分：质子加速器放射治疗机房》（GBZ/T 201.5-2015）；</w:t>
      </w:r>
    </w:p>
    <w:p w14:paraId="5DCEB85C">
      <w:pPr>
        <w:pStyle w:val="8"/>
        <w:numPr>
          <w:ilvl w:val="0"/>
          <w:numId w:val="7"/>
        </w:numPr>
        <w:ind w:firstLine="480"/>
        <w:rPr>
          <w:lang w:eastAsia="zh-CN"/>
        </w:rPr>
      </w:pPr>
      <w:r>
        <w:rPr>
          <w:lang w:eastAsia="zh-CN"/>
        </w:rPr>
        <w:t>《放射诊断放射防护要求》（GBZ 130-2020）；</w:t>
      </w:r>
    </w:p>
    <w:p w14:paraId="5E8380E1">
      <w:pPr>
        <w:pStyle w:val="8"/>
        <w:numPr>
          <w:ilvl w:val="0"/>
          <w:numId w:val="7"/>
        </w:numPr>
        <w:ind w:firstLine="480"/>
        <w:rPr>
          <w:lang w:eastAsia="zh-CN"/>
        </w:rPr>
      </w:pPr>
      <w:r>
        <w:rPr>
          <w:lang w:eastAsia="zh-CN"/>
        </w:rPr>
        <w:t>《环境及生物样品中放射性核素的γ能谱分析方法》（GB/T16145-2022）；</w:t>
      </w:r>
    </w:p>
    <w:p w14:paraId="75F4214F">
      <w:pPr>
        <w:pStyle w:val="8"/>
        <w:numPr>
          <w:ilvl w:val="0"/>
          <w:numId w:val="7"/>
        </w:numPr>
        <w:ind w:firstLine="480"/>
      </w:pPr>
      <w:r>
        <w:t>《辐射环境保护管理导则 核技术利用建设项目 环境影响评价文件的内容和格式》（HJ 10.1-2016）；</w:t>
      </w:r>
    </w:p>
    <w:p w14:paraId="31AED148">
      <w:pPr>
        <w:pStyle w:val="8"/>
        <w:numPr>
          <w:ilvl w:val="0"/>
          <w:numId w:val="7"/>
        </w:numPr>
        <w:ind w:firstLine="480"/>
        <w:rPr>
          <w:lang w:eastAsia="zh-CN"/>
        </w:rPr>
      </w:pPr>
      <w:r>
        <w:rPr>
          <w:lang w:eastAsia="zh-CN"/>
        </w:rPr>
        <w:t>《放射治疗辐射安全与防护要求》（HJ 1198-2021）；</w:t>
      </w:r>
    </w:p>
    <w:p w14:paraId="1A9F7B1E">
      <w:pPr>
        <w:pStyle w:val="8"/>
        <w:numPr>
          <w:ilvl w:val="0"/>
          <w:numId w:val="7"/>
        </w:numPr>
        <w:ind w:firstLine="480"/>
        <w:rPr>
          <w:lang w:eastAsia="zh-CN"/>
        </w:rPr>
      </w:pPr>
      <w:r>
        <w:t>《辐射环境监测技术规范》（HJ 61-2021）；</w:t>
      </w:r>
    </w:p>
    <w:p w14:paraId="7342FE12">
      <w:pPr>
        <w:pStyle w:val="8"/>
        <w:numPr>
          <w:ilvl w:val="0"/>
          <w:numId w:val="7"/>
        </w:numPr>
        <w:ind w:firstLine="480"/>
      </w:pPr>
      <w:r>
        <w:rPr>
          <w:szCs w:val="21"/>
        </w:rPr>
        <w:t>《环境γ辐射剂量率测量技术规范》（HJ 1157-2021）</w:t>
      </w:r>
      <w:r>
        <w:rPr>
          <w:szCs w:val="21"/>
          <w:lang w:eastAsia="zh-CN"/>
        </w:rPr>
        <w:t>；</w:t>
      </w:r>
    </w:p>
    <w:p w14:paraId="6C19E003">
      <w:pPr>
        <w:pStyle w:val="8"/>
        <w:numPr>
          <w:ilvl w:val="0"/>
          <w:numId w:val="7"/>
        </w:numPr>
        <w:ind w:firstLine="480"/>
      </w:pPr>
      <w:r>
        <w:rPr>
          <w:szCs w:val="21"/>
          <w:lang w:eastAsia="zh-CN"/>
        </w:rPr>
        <w:t>《辐射防护仪器中子周围剂量当量（率）仪》（GB/T 14318-2019）；</w:t>
      </w:r>
    </w:p>
    <w:p w14:paraId="37B3CD73">
      <w:pPr>
        <w:pStyle w:val="8"/>
        <w:numPr>
          <w:ilvl w:val="0"/>
          <w:numId w:val="7"/>
        </w:numPr>
        <w:ind w:firstLine="480"/>
      </w:pPr>
      <w:r>
        <w:rPr>
          <w:szCs w:val="21"/>
          <w:lang w:eastAsia="zh-CN"/>
        </w:rPr>
        <w:t>《高纯锗γ能谱分析通用方法》（GB/T 11713-2015）;</w:t>
      </w:r>
    </w:p>
    <w:p w14:paraId="07DD8016">
      <w:pPr>
        <w:pStyle w:val="8"/>
        <w:numPr>
          <w:ilvl w:val="0"/>
          <w:numId w:val="7"/>
        </w:numPr>
        <w:ind w:firstLine="480"/>
      </w:pPr>
      <w:r>
        <w:rPr>
          <w:szCs w:val="21"/>
          <w:lang w:eastAsia="zh-CN"/>
        </w:rPr>
        <w:t>《水质 总α放射性的测定 厚源法》（HJ 898-2017）；</w:t>
      </w:r>
    </w:p>
    <w:p w14:paraId="3EA97696">
      <w:pPr>
        <w:pStyle w:val="8"/>
        <w:numPr>
          <w:ilvl w:val="0"/>
          <w:numId w:val="7"/>
        </w:numPr>
        <w:ind w:firstLine="480"/>
      </w:pPr>
      <w:r>
        <w:rPr>
          <w:szCs w:val="21"/>
          <w:lang w:eastAsia="zh-CN"/>
        </w:rPr>
        <w:t>《水质 总β放射性的测定 厚源法》（HJ 899-2017）</w:t>
      </w:r>
    </w:p>
    <w:p w14:paraId="57876E29">
      <w:pPr>
        <w:pStyle w:val="8"/>
        <w:numPr>
          <w:ilvl w:val="0"/>
          <w:numId w:val="7"/>
        </w:numPr>
        <w:ind w:firstLine="480"/>
      </w:pPr>
      <w:r>
        <w:rPr>
          <w:szCs w:val="21"/>
          <w:lang w:eastAsia="zh-CN"/>
        </w:rPr>
        <w:t>《水中氚的分析方法》（HJ 1126-2020）；</w:t>
      </w:r>
    </w:p>
    <w:p w14:paraId="0199EE25">
      <w:pPr>
        <w:pStyle w:val="8"/>
        <w:numPr>
          <w:ilvl w:val="0"/>
          <w:numId w:val="7"/>
        </w:numPr>
        <w:ind w:firstLine="480"/>
      </w:pPr>
      <w:r>
        <w:t>《职业性外照射个人监测规范》（GBZ 128-2019）；</w:t>
      </w:r>
    </w:p>
    <w:p w14:paraId="0951AD5A">
      <w:pPr>
        <w:pStyle w:val="8"/>
        <w:numPr>
          <w:ilvl w:val="0"/>
          <w:numId w:val="7"/>
        </w:numPr>
        <w:ind w:firstLine="480"/>
      </w:pPr>
      <w:r>
        <w:t>《职业性内照射个人监测规范》（GBZ 129-2016）</w:t>
      </w:r>
      <w:r>
        <w:rPr>
          <w:lang w:eastAsia="zh-CN"/>
        </w:rPr>
        <w:t>；</w:t>
      </w:r>
    </w:p>
    <w:p w14:paraId="1D741A1C">
      <w:pPr>
        <w:pStyle w:val="8"/>
        <w:numPr>
          <w:ilvl w:val="0"/>
          <w:numId w:val="7"/>
        </w:numPr>
        <w:ind w:firstLine="480"/>
      </w:pPr>
      <w:r>
        <w:rPr>
          <w:lang w:eastAsia="zh-CN"/>
        </w:rPr>
        <w:t>《医疗机构水污染物排放标准》（GB 18466-2005）；</w:t>
      </w:r>
    </w:p>
    <w:p w14:paraId="0A1A5CEF">
      <w:pPr>
        <w:pStyle w:val="8"/>
        <w:numPr>
          <w:ilvl w:val="0"/>
          <w:numId w:val="7"/>
        </w:numPr>
        <w:ind w:firstLine="480"/>
        <w:rPr>
          <w:lang w:eastAsia="zh-CN"/>
        </w:rPr>
      </w:pPr>
      <w:r>
        <w:t>《工作场所有害因素职业接触限值化学有害因素》（GBZ 2.1-2019）</w:t>
      </w:r>
      <w:r>
        <w:rPr>
          <w:lang w:eastAsia="zh-CN"/>
        </w:rPr>
        <w:t>；</w:t>
      </w:r>
    </w:p>
    <w:p w14:paraId="240AEF83">
      <w:pPr>
        <w:pStyle w:val="8"/>
        <w:numPr>
          <w:ilvl w:val="0"/>
          <w:numId w:val="7"/>
        </w:numPr>
        <w:ind w:firstLine="480"/>
        <w:rPr>
          <w:lang w:eastAsia="zh-CN"/>
        </w:rPr>
      </w:pPr>
      <w:r>
        <w:t>《大气污染物综合排放标准》（GB16297-1996）</w:t>
      </w:r>
      <w:r>
        <w:rPr>
          <w:lang w:eastAsia="zh-CN"/>
        </w:rPr>
        <w:t>。</w:t>
      </w:r>
    </w:p>
    <w:bookmarkEnd w:id="224"/>
    <w:p w14:paraId="59700384">
      <w:pPr>
        <w:pStyle w:val="4"/>
        <w:rPr>
          <w:rFonts w:eastAsia="宋体"/>
          <w:b/>
          <w:bCs w:val="0"/>
        </w:rPr>
      </w:pPr>
      <w:bookmarkStart w:id="225" w:name="_Toc34738558"/>
      <w:bookmarkStart w:id="226" w:name="_Toc71554448"/>
      <w:bookmarkStart w:id="227" w:name="_Toc209125189"/>
      <w:r>
        <w:rPr>
          <w:rFonts w:eastAsia="宋体"/>
          <w:b/>
          <w:bCs w:val="0"/>
        </w:rPr>
        <w:t>其它文件、资料</w:t>
      </w:r>
      <w:bookmarkEnd w:id="225"/>
      <w:bookmarkEnd w:id="226"/>
      <w:bookmarkEnd w:id="227"/>
    </w:p>
    <w:p w14:paraId="4B2C455C">
      <w:pPr>
        <w:pStyle w:val="8"/>
      </w:pPr>
      <w:r>
        <w:t>（1）</w:t>
      </w:r>
      <w:r>
        <w:rPr>
          <w:lang w:eastAsia="zh-CN"/>
        </w:rPr>
        <w:t>《迈胜MPT S250i II质子治疗系统辐射安全与防护技术资料》（迈胜医疗设备有限公司，2025年6月）</w:t>
      </w:r>
      <w:r>
        <w:t>；</w:t>
      </w:r>
    </w:p>
    <w:p w14:paraId="7C6DB827">
      <w:pPr>
        <w:pStyle w:val="8"/>
      </w:pPr>
      <w:r>
        <w:t>（</w:t>
      </w:r>
      <w:r>
        <w:rPr>
          <w:lang w:eastAsia="zh-CN"/>
        </w:rPr>
        <w:t>2</w:t>
      </w:r>
      <w:r>
        <w:t>）</w:t>
      </w:r>
      <w:r>
        <w:rPr>
          <w:lang w:eastAsia="zh-CN"/>
        </w:rPr>
        <w:t>《广州科学城质子治疗中心新建项目可行性研究报告》（广东省国际工程咨询有限公司，2024年11月）；</w:t>
      </w:r>
    </w:p>
    <w:p w14:paraId="183EB94A">
      <w:pPr>
        <w:pStyle w:val="8"/>
      </w:pPr>
      <w:r>
        <w:rPr>
          <w:lang w:eastAsia="zh-CN"/>
        </w:rPr>
        <w:t>（3）</w:t>
      </w:r>
      <w:r>
        <w:t>NCRP. Report NO.144. Radiation Protection for Particle Accelerator Facilities</w:t>
      </w:r>
      <w:r>
        <w:rPr>
          <w:lang w:eastAsia="zh-CN"/>
        </w:rPr>
        <w:t>. NCRP,2005；</w:t>
      </w:r>
    </w:p>
    <w:p w14:paraId="39570EF2">
      <w:pPr>
        <w:pStyle w:val="8"/>
      </w:pPr>
      <w:r>
        <w:t>（</w:t>
      </w:r>
      <w:r>
        <w:rPr>
          <w:lang w:eastAsia="zh-CN"/>
        </w:rPr>
        <w:t>4</w:t>
      </w:r>
      <w:r>
        <w:t>）IAEA. Safety Reports Series NO.1</w:t>
      </w:r>
      <w:r>
        <w:rPr>
          <w:lang w:eastAsia="zh-CN"/>
        </w:rPr>
        <w:t>9. Generic Models for Use in Assessing the Impact of Discharges of Radioactive Substances to the Environment. IAEA,2001；</w:t>
      </w:r>
    </w:p>
    <w:p w14:paraId="05F2D91A">
      <w:pPr>
        <w:pStyle w:val="8"/>
      </w:pPr>
      <w:r>
        <w:t>（</w:t>
      </w:r>
      <w:r>
        <w:rPr>
          <w:lang w:eastAsia="zh-CN"/>
        </w:rPr>
        <w:t>5</w:t>
      </w:r>
      <w:r>
        <w:t>）</w:t>
      </w:r>
      <w:r>
        <w:rPr>
          <w:lang w:eastAsia="zh-CN"/>
        </w:rPr>
        <w:t>建设单位</w:t>
      </w:r>
      <w:r>
        <w:t>提供的与本项目相关的初步设计资料等其他技术资料</w:t>
      </w:r>
      <w:r>
        <w:rPr>
          <w:lang w:eastAsia="zh-CN"/>
        </w:rPr>
        <w:t>。</w:t>
      </w:r>
    </w:p>
    <w:p w14:paraId="45831311">
      <w:pPr>
        <w:pStyle w:val="3"/>
        <w:rPr>
          <w:rFonts w:ascii="Times New Roman" w:hAnsi="Times New Roman" w:eastAsia="宋体"/>
          <w:b/>
          <w:bCs w:val="0"/>
          <w:sz w:val="28"/>
          <w:szCs w:val="28"/>
        </w:rPr>
      </w:pPr>
      <w:bookmarkStart w:id="228" w:name="_Toc209125190"/>
      <w:bookmarkStart w:id="229" w:name="_Toc34738559"/>
      <w:bookmarkStart w:id="230" w:name="_Toc71554449"/>
      <w:r>
        <w:rPr>
          <w:rFonts w:ascii="Times New Roman" w:hAnsi="Times New Roman" w:eastAsia="宋体"/>
          <w:b/>
          <w:bCs w:val="0"/>
          <w:sz w:val="28"/>
          <w:szCs w:val="28"/>
        </w:rPr>
        <w:t>评价标准</w:t>
      </w:r>
      <w:bookmarkEnd w:id="228"/>
      <w:bookmarkEnd w:id="229"/>
      <w:bookmarkEnd w:id="230"/>
    </w:p>
    <w:p w14:paraId="507F5721">
      <w:pPr>
        <w:pStyle w:val="4"/>
        <w:rPr>
          <w:rFonts w:eastAsia="宋体"/>
          <w:b/>
          <w:bCs w:val="0"/>
        </w:rPr>
      </w:pPr>
      <w:bookmarkStart w:id="231" w:name="_Toc487527990"/>
      <w:bookmarkEnd w:id="231"/>
      <w:bookmarkStart w:id="232" w:name="_Toc487619277"/>
      <w:bookmarkEnd w:id="232"/>
      <w:bookmarkStart w:id="233" w:name="_Toc209125191"/>
      <w:bookmarkStart w:id="234" w:name="_Toc34738560"/>
      <w:bookmarkStart w:id="235" w:name="_Toc71554450"/>
      <w:r>
        <w:rPr>
          <w:rFonts w:eastAsia="宋体"/>
          <w:b/>
          <w:bCs w:val="0"/>
        </w:rPr>
        <w:t>剂量限值和剂量约束值</w:t>
      </w:r>
      <w:bookmarkEnd w:id="233"/>
      <w:bookmarkEnd w:id="234"/>
      <w:bookmarkEnd w:id="235"/>
    </w:p>
    <w:p w14:paraId="403E72AB">
      <w:pPr>
        <w:pStyle w:val="5"/>
      </w:pPr>
      <w:r>
        <w:t>剂量限值</w:t>
      </w:r>
    </w:p>
    <w:p w14:paraId="0E72323A">
      <w:pPr>
        <w:pStyle w:val="8"/>
      </w:pPr>
      <w:r>
        <w:t>执行《电离辐射防护与辐射源安全基本标准》（GB18871-2002）规定，工作人员的职业照射和公众照射的剂量限值如下：</w:t>
      </w:r>
    </w:p>
    <w:p w14:paraId="4DFD85EE">
      <w:pPr>
        <w:pStyle w:val="8"/>
      </w:pPr>
      <w:r>
        <w:t>（1）职业照射</w:t>
      </w:r>
    </w:p>
    <w:p w14:paraId="1207D168">
      <w:pPr>
        <w:pStyle w:val="8"/>
      </w:pPr>
      <w:r>
        <w:t>应对任何工作人员职业照射水平进行控制，使之不超过下述限值：</w:t>
      </w:r>
    </w:p>
    <w:p w14:paraId="50F9435E">
      <w:pPr>
        <w:pStyle w:val="8"/>
      </w:pPr>
      <w:r>
        <w:t>1）审管部门决定连续5年的年平均有效剂量（但不可作任何追溯性平均），20mSv；</w:t>
      </w:r>
    </w:p>
    <w:p w14:paraId="059A5D05">
      <w:pPr>
        <w:pStyle w:val="8"/>
      </w:pPr>
      <w:r>
        <w:t>2）任何一年中的有效剂量，50mSv。</w:t>
      </w:r>
    </w:p>
    <w:p w14:paraId="0DEF4390">
      <w:pPr>
        <w:pStyle w:val="8"/>
      </w:pPr>
      <w:r>
        <w:t>（2）公众照射</w:t>
      </w:r>
    </w:p>
    <w:p w14:paraId="2EFFAE60">
      <w:pPr>
        <w:pStyle w:val="8"/>
      </w:pPr>
      <w:r>
        <w:t>实践使公众中关键人群组的成员所受到的平均剂量估计值不应超过下述限值：</w:t>
      </w:r>
    </w:p>
    <w:p w14:paraId="21D16228">
      <w:pPr>
        <w:pStyle w:val="8"/>
      </w:pPr>
      <w:r>
        <w:t>1）年有效剂量，1mSv；</w:t>
      </w:r>
    </w:p>
    <w:p w14:paraId="11F1FDC4">
      <w:pPr>
        <w:pStyle w:val="8"/>
        <w:rPr>
          <w:lang w:eastAsia="zh-CN"/>
        </w:rPr>
      </w:pPr>
      <w:r>
        <w:t>2）特殊情况下，如果5个连续年的年平均剂量不超过1mSv，则某一单一年份的有效剂量可提高到5mSv</w:t>
      </w:r>
      <w:r>
        <w:rPr>
          <w:lang w:eastAsia="zh-CN"/>
        </w:rPr>
        <w:t>。</w:t>
      </w:r>
    </w:p>
    <w:p w14:paraId="0BA10D71">
      <w:pPr>
        <w:pStyle w:val="5"/>
      </w:pPr>
      <w:r>
        <w:t>剂量约束值</w:t>
      </w:r>
    </w:p>
    <w:p w14:paraId="150BA695">
      <w:pPr>
        <w:pStyle w:val="8"/>
        <w:rPr>
          <w:lang w:eastAsia="zh-CN"/>
        </w:rPr>
      </w:pPr>
      <w:r>
        <w:rPr>
          <w:lang w:eastAsia="zh-CN"/>
        </w:rPr>
        <w:t>执行《放射治疗辐射安全与防护要求》（HJ1198-2021）：工作人员职业照射的剂量约束值为5 mSv/a，公众照射的剂量约束值不超过0.1 mSv/a。</w:t>
      </w:r>
    </w:p>
    <w:p w14:paraId="7B02560D">
      <w:pPr>
        <w:pStyle w:val="4"/>
        <w:rPr>
          <w:rFonts w:eastAsia="宋体"/>
          <w:b/>
          <w:bCs w:val="0"/>
        </w:rPr>
      </w:pPr>
      <w:bookmarkStart w:id="236" w:name="_Toc21622196"/>
      <w:bookmarkEnd w:id="236"/>
      <w:bookmarkStart w:id="237" w:name="_Toc23257589"/>
      <w:bookmarkEnd w:id="237"/>
      <w:bookmarkStart w:id="238" w:name="_Toc24548612"/>
      <w:bookmarkEnd w:id="238"/>
      <w:bookmarkStart w:id="239" w:name="_Toc34298313"/>
      <w:bookmarkEnd w:id="239"/>
      <w:bookmarkStart w:id="240" w:name="_Toc21597448"/>
      <w:bookmarkEnd w:id="240"/>
      <w:bookmarkStart w:id="241" w:name="_Toc21622197"/>
      <w:bookmarkEnd w:id="241"/>
      <w:bookmarkStart w:id="242" w:name="_Toc24548613"/>
      <w:bookmarkEnd w:id="242"/>
      <w:bookmarkStart w:id="243" w:name="_Toc21597449"/>
      <w:bookmarkEnd w:id="243"/>
      <w:bookmarkStart w:id="244" w:name="_Toc23257591"/>
      <w:bookmarkEnd w:id="244"/>
      <w:bookmarkStart w:id="245" w:name="_Toc23846487"/>
      <w:bookmarkEnd w:id="245"/>
      <w:bookmarkStart w:id="246" w:name="_Toc23952637"/>
      <w:bookmarkEnd w:id="246"/>
      <w:bookmarkStart w:id="247" w:name="_Toc23257590"/>
      <w:bookmarkEnd w:id="247"/>
      <w:bookmarkStart w:id="248" w:name="_Toc23846489"/>
      <w:bookmarkEnd w:id="248"/>
      <w:bookmarkStart w:id="249" w:name="_Toc23846488"/>
      <w:bookmarkEnd w:id="249"/>
      <w:bookmarkStart w:id="250" w:name="_Toc21597447"/>
      <w:bookmarkEnd w:id="250"/>
      <w:bookmarkStart w:id="251" w:name="_Toc34298314"/>
      <w:bookmarkEnd w:id="251"/>
      <w:bookmarkStart w:id="252" w:name="_Toc21622198"/>
      <w:bookmarkEnd w:id="252"/>
      <w:bookmarkStart w:id="253" w:name="_Toc23952638"/>
      <w:bookmarkEnd w:id="253"/>
      <w:bookmarkStart w:id="254" w:name="_Toc23952639"/>
      <w:bookmarkEnd w:id="254"/>
      <w:bookmarkStart w:id="255" w:name="_Toc23846490"/>
      <w:bookmarkEnd w:id="255"/>
      <w:bookmarkStart w:id="256" w:name="_Toc21597450"/>
      <w:bookmarkEnd w:id="256"/>
      <w:bookmarkStart w:id="257" w:name="_Toc21622199"/>
      <w:bookmarkEnd w:id="257"/>
      <w:bookmarkStart w:id="258" w:name="_Toc24548614"/>
      <w:bookmarkEnd w:id="258"/>
      <w:bookmarkStart w:id="259" w:name="_Toc24548615"/>
      <w:bookmarkEnd w:id="259"/>
      <w:bookmarkStart w:id="260" w:name="_Toc34298315"/>
      <w:bookmarkEnd w:id="260"/>
      <w:bookmarkStart w:id="261" w:name="_Toc23257592"/>
      <w:bookmarkEnd w:id="261"/>
      <w:bookmarkStart w:id="262" w:name="_Toc23952640"/>
      <w:bookmarkEnd w:id="262"/>
      <w:bookmarkStart w:id="263" w:name="_Toc34298316"/>
      <w:bookmarkEnd w:id="263"/>
      <w:bookmarkStart w:id="264" w:name="_Toc209125192"/>
      <w:bookmarkStart w:id="265" w:name="_Toc71554451"/>
      <w:bookmarkStart w:id="266" w:name="_Toc34738561"/>
      <w:r>
        <w:rPr>
          <w:rFonts w:eastAsia="宋体"/>
          <w:b/>
          <w:bCs w:val="0"/>
        </w:rPr>
        <w:t>辐射工作场所屏蔽体外剂量率控制水平</w:t>
      </w:r>
      <w:bookmarkEnd w:id="264"/>
      <w:bookmarkEnd w:id="265"/>
      <w:bookmarkEnd w:id="266"/>
    </w:p>
    <w:p w14:paraId="6FE9E201">
      <w:pPr>
        <w:pStyle w:val="8"/>
        <w:rPr>
          <w:lang w:eastAsia="zh-CN"/>
        </w:rPr>
      </w:pPr>
      <w:bookmarkStart w:id="267" w:name="_Hlk178234734"/>
      <w:r>
        <w:rPr>
          <w:lang w:eastAsia="zh-CN"/>
        </w:rPr>
        <w:t>参照《放射治疗机房的辐射屏蔽规范 第5部分：质子加速器放射治疗机房》（GBZ/T 201.5-2015）、《放射诊断放射防护要求》（GBZ130-2020）、《放射治疗辐射安全与防护要求》（HJ 1198-2021）中的相关规定，本项目各辐射工作场所屏蔽体外剂量率控制水平见下表。</w:t>
      </w:r>
    </w:p>
    <w:bookmarkEnd w:id="267"/>
    <w:p w14:paraId="7A903998">
      <w:pPr>
        <w:pStyle w:val="15"/>
      </w:pPr>
      <w:bookmarkStart w:id="268" w:name="_Ref146721349"/>
      <w:bookmarkStart w:id="269" w:name="_Toc148625144"/>
      <w:r>
        <w:t xml:space="preserve">表 </w:t>
      </w:r>
      <w:r>
        <w:fldChar w:fldCharType="begin"/>
      </w:r>
      <w:r>
        <w:instrText xml:space="preserve"> STYLEREF 1 \s </w:instrText>
      </w:r>
      <w:r>
        <w:fldChar w:fldCharType="separate"/>
      </w:r>
      <w:r>
        <w:t>1</w:t>
      </w:r>
      <w:r>
        <w:fldChar w:fldCharType="end"/>
      </w:r>
      <w:r>
        <w:noBreakHyphen/>
      </w:r>
      <w:r>
        <w:fldChar w:fldCharType="begin"/>
      </w:r>
      <w:r>
        <w:instrText xml:space="preserve"> SEQ 表 \* ARABIC \s 1 </w:instrText>
      </w:r>
      <w:r>
        <w:fldChar w:fldCharType="separate"/>
      </w:r>
      <w:r>
        <w:t>4</w:t>
      </w:r>
      <w:r>
        <w:fldChar w:fldCharType="end"/>
      </w:r>
      <w:bookmarkEnd w:id="268"/>
      <w:r>
        <w:t xml:space="preserve"> 本项目辐射工作场所屏蔽体外剂量率控制水平</w:t>
      </w:r>
      <w:bookmarkEnd w:id="269"/>
    </w:p>
    <w:tbl>
      <w:tblPr>
        <w:tblStyle w:val="45"/>
        <w:tblW w:w="94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19"/>
        <w:gridCol w:w="2361"/>
        <w:gridCol w:w="3878"/>
        <w:gridCol w:w="1702"/>
      </w:tblGrid>
      <w:tr w14:paraId="3B47FE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1" w:hRule="atLeast"/>
          <w:jc w:val="center"/>
        </w:trPr>
        <w:tc>
          <w:tcPr>
            <w:tcW w:w="1519" w:type="dxa"/>
            <w:vAlign w:val="center"/>
          </w:tcPr>
          <w:p w14:paraId="09FE7887">
            <w:pPr>
              <w:tabs>
                <w:tab w:val="center" w:pos="1115"/>
                <w:tab w:val="right" w:pos="2231"/>
              </w:tabs>
              <w:spacing w:line="276" w:lineRule="auto"/>
              <w:jc w:val="center"/>
              <w:rPr>
                <w:b/>
                <w:bCs/>
                <w:color w:val="000000"/>
                <w:szCs w:val="21"/>
              </w:rPr>
            </w:pPr>
            <w:r>
              <w:rPr>
                <w:b/>
                <w:bCs/>
                <w:color w:val="000000"/>
                <w:szCs w:val="21"/>
              </w:rPr>
              <w:t>场所</w:t>
            </w:r>
          </w:p>
        </w:tc>
        <w:tc>
          <w:tcPr>
            <w:tcW w:w="2361" w:type="dxa"/>
            <w:vAlign w:val="center"/>
          </w:tcPr>
          <w:p w14:paraId="026293B6">
            <w:pPr>
              <w:tabs>
                <w:tab w:val="center" w:pos="1115"/>
                <w:tab w:val="right" w:pos="2231"/>
              </w:tabs>
              <w:spacing w:line="276" w:lineRule="auto"/>
              <w:jc w:val="center"/>
              <w:rPr>
                <w:b/>
                <w:bCs/>
                <w:color w:val="000000"/>
                <w:szCs w:val="21"/>
              </w:rPr>
            </w:pPr>
            <w:r>
              <w:rPr>
                <w:b/>
                <w:bCs/>
                <w:color w:val="000000"/>
                <w:szCs w:val="21"/>
              </w:rPr>
              <w:t>位置</w:t>
            </w:r>
          </w:p>
        </w:tc>
        <w:tc>
          <w:tcPr>
            <w:tcW w:w="3878" w:type="dxa"/>
            <w:vAlign w:val="center"/>
          </w:tcPr>
          <w:p w14:paraId="1AC9573B">
            <w:pPr>
              <w:tabs>
                <w:tab w:val="center" w:pos="1115"/>
                <w:tab w:val="right" w:pos="2231"/>
              </w:tabs>
              <w:spacing w:line="276" w:lineRule="auto"/>
              <w:jc w:val="center"/>
              <w:rPr>
                <w:b/>
                <w:bCs/>
                <w:color w:val="000000"/>
                <w:szCs w:val="21"/>
              </w:rPr>
            </w:pPr>
            <w:r>
              <w:rPr>
                <w:b/>
                <w:bCs/>
                <w:color w:val="000000"/>
                <w:szCs w:val="21"/>
              </w:rPr>
              <w:t>位置描述（居留因子）</w:t>
            </w:r>
          </w:p>
        </w:tc>
        <w:tc>
          <w:tcPr>
            <w:tcW w:w="1702" w:type="dxa"/>
            <w:vAlign w:val="center"/>
          </w:tcPr>
          <w:p w14:paraId="3924290F">
            <w:pPr>
              <w:tabs>
                <w:tab w:val="center" w:pos="1115"/>
                <w:tab w:val="right" w:pos="2231"/>
              </w:tabs>
              <w:spacing w:line="276" w:lineRule="auto"/>
              <w:jc w:val="center"/>
              <w:rPr>
                <w:b/>
                <w:bCs/>
                <w:color w:val="000000"/>
                <w:szCs w:val="21"/>
              </w:rPr>
            </w:pPr>
            <w:r>
              <w:rPr>
                <w:b/>
                <w:bCs/>
                <w:color w:val="000000"/>
                <w:szCs w:val="21"/>
              </w:rPr>
              <w:t>剂量率控制水平，</w:t>
            </w:r>
            <w:r>
              <w:rPr>
                <w:color w:val="000000"/>
                <w:szCs w:val="21"/>
              </w:rPr>
              <w:t>μSv/h</w:t>
            </w:r>
          </w:p>
        </w:tc>
      </w:tr>
      <w:tr w14:paraId="013ECE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 w:hRule="atLeast"/>
          <w:jc w:val="center"/>
        </w:trPr>
        <w:tc>
          <w:tcPr>
            <w:tcW w:w="1519" w:type="dxa"/>
            <w:vMerge w:val="restart"/>
            <w:vAlign w:val="center"/>
          </w:tcPr>
          <w:p w14:paraId="540A2D85">
            <w:pPr>
              <w:tabs>
                <w:tab w:val="center" w:pos="1115"/>
                <w:tab w:val="right" w:pos="2231"/>
              </w:tabs>
              <w:spacing w:line="276" w:lineRule="auto"/>
              <w:jc w:val="center"/>
              <w:rPr>
                <w:color w:val="000000"/>
                <w:szCs w:val="21"/>
              </w:rPr>
            </w:pPr>
            <w:r>
              <w:rPr>
                <w:color w:val="000000"/>
                <w:szCs w:val="21"/>
              </w:rPr>
              <w:t>质子治疗机房</w:t>
            </w:r>
          </w:p>
        </w:tc>
        <w:tc>
          <w:tcPr>
            <w:tcW w:w="2361" w:type="dxa"/>
            <w:vMerge w:val="restart"/>
            <w:vAlign w:val="center"/>
          </w:tcPr>
          <w:p w14:paraId="2581261A">
            <w:pPr>
              <w:tabs>
                <w:tab w:val="center" w:pos="1115"/>
                <w:tab w:val="right" w:pos="2231"/>
              </w:tabs>
              <w:spacing w:line="276" w:lineRule="auto"/>
              <w:jc w:val="center"/>
              <w:rPr>
                <w:color w:val="000000"/>
                <w:szCs w:val="21"/>
              </w:rPr>
            </w:pPr>
            <w:r>
              <w:rPr>
                <w:color w:val="000000"/>
                <w:szCs w:val="21"/>
              </w:rPr>
              <w:t>机房四周屏蔽墙、入口防护门外、机房顶</w:t>
            </w:r>
          </w:p>
        </w:tc>
        <w:tc>
          <w:tcPr>
            <w:tcW w:w="3878" w:type="dxa"/>
            <w:vAlign w:val="center"/>
          </w:tcPr>
          <w:p w14:paraId="669F84AA">
            <w:pPr>
              <w:tabs>
                <w:tab w:val="center" w:pos="1115"/>
                <w:tab w:val="right" w:pos="2231"/>
              </w:tabs>
              <w:spacing w:line="276" w:lineRule="auto"/>
              <w:jc w:val="center"/>
              <w:rPr>
                <w:bCs/>
                <w:color w:val="000000"/>
                <w:szCs w:val="21"/>
              </w:rPr>
            </w:pPr>
            <w:r>
              <w:rPr>
                <w:color w:val="000000"/>
                <w:szCs w:val="21"/>
              </w:rPr>
              <w:t>居留因子T≥1/2</w:t>
            </w:r>
          </w:p>
        </w:tc>
        <w:tc>
          <w:tcPr>
            <w:tcW w:w="1702" w:type="dxa"/>
            <w:vAlign w:val="center"/>
          </w:tcPr>
          <w:p w14:paraId="10B16A11">
            <w:pPr>
              <w:tabs>
                <w:tab w:val="center" w:pos="1115"/>
                <w:tab w:val="right" w:pos="2231"/>
              </w:tabs>
              <w:spacing w:line="276" w:lineRule="auto"/>
              <w:jc w:val="center"/>
              <w:rPr>
                <w:color w:val="000000"/>
                <w:szCs w:val="21"/>
              </w:rPr>
            </w:pPr>
            <w:r>
              <w:rPr>
                <w:color w:val="000000"/>
                <w:szCs w:val="21"/>
              </w:rPr>
              <w:t>≤2.5</w:t>
            </w:r>
          </w:p>
        </w:tc>
      </w:tr>
      <w:tr w14:paraId="072AE6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1519" w:type="dxa"/>
            <w:vMerge w:val="continue"/>
            <w:vAlign w:val="center"/>
          </w:tcPr>
          <w:p w14:paraId="618EFEB5">
            <w:pPr>
              <w:tabs>
                <w:tab w:val="center" w:pos="1115"/>
                <w:tab w:val="right" w:pos="2231"/>
              </w:tabs>
              <w:spacing w:line="276" w:lineRule="auto"/>
              <w:jc w:val="center"/>
              <w:rPr>
                <w:color w:val="000000"/>
                <w:szCs w:val="21"/>
              </w:rPr>
            </w:pPr>
          </w:p>
        </w:tc>
        <w:tc>
          <w:tcPr>
            <w:tcW w:w="2361" w:type="dxa"/>
            <w:vMerge w:val="continue"/>
            <w:vAlign w:val="center"/>
          </w:tcPr>
          <w:p w14:paraId="45CE46DD">
            <w:pPr>
              <w:tabs>
                <w:tab w:val="center" w:pos="1115"/>
                <w:tab w:val="right" w:pos="2231"/>
              </w:tabs>
              <w:spacing w:line="276" w:lineRule="auto"/>
              <w:jc w:val="center"/>
              <w:rPr>
                <w:color w:val="000000"/>
                <w:szCs w:val="21"/>
              </w:rPr>
            </w:pPr>
          </w:p>
        </w:tc>
        <w:tc>
          <w:tcPr>
            <w:tcW w:w="3878" w:type="dxa"/>
            <w:vAlign w:val="center"/>
          </w:tcPr>
          <w:p w14:paraId="15815AD0">
            <w:pPr>
              <w:tabs>
                <w:tab w:val="center" w:pos="1115"/>
                <w:tab w:val="right" w:pos="2231"/>
              </w:tabs>
              <w:spacing w:line="276" w:lineRule="auto"/>
              <w:jc w:val="center"/>
              <w:rPr>
                <w:color w:val="000000"/>
                <w:szCs w:val="21"/>
              </w:rPr>
            </w:pPr>
            <w:r>
              <w:rPr>
                <w:color w:val="000000"/>
                <w:szCs w:val="21"/>
              </w:rPr>
              <w:t>居留因子T＜1/2</w:t>
            </w:r>
          </w:p>
        </w:tc>
        <w:tc>
          <w:tcPr>
            <w:tcW w:w="1702" w:type="dxa"/>
            <w:vAlign w:val="center"/>
          </w:tcPr>
          <w:p w14:paraId="1E859ED4">
            <w:pPr>
              <w:tabs>
                <w:tab w:val="center" w:pos="1115"/>
                <w:tab w:val="right" w:pos="2231"/>
              </w:tabs>
              <w:spacing w:line="276" w:lineRule="auto"/>
              <w:jc w:val="center"/>
              <w:rPr>
                <w:color w:val="000000"/>
                <w:szCs w:val="21"/>
              </w:rPr>
            </w:pPr>
            <w:r>
              <w:rPr>
                <w:color w:val="000000"/>
                <w:szCs w:val="21"/>
              </w:rPr>
              <w:t>≤10</w:t>
            </w:r>
          </w:p>
        </w:tc>
      </w:tr>
      <w:tr w14:paraId="75D26E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1" w:hRule="atLeast"/>
          <w:jc w:val="center"/>
        </w:trPr>
        <w:tc>
          <w:tcPr>
            <w:tcW w:w="1519" w:type="dxa"/>
            <w:vMerge w:val="continue"/>
            <w:vAlign w:val="center"/>
          </w:tcPr>
          <w:p w14:paraId="13D9EB9C">
            <w:pPr>
              <w:tabs>
                <w:tab w:val="center" w:pos="1115"/>
                <w:tab w:val="right" w:pos="2231"/>
              </w:tabs>
              <w:spacing w:line="276" w:lineRule="auto"/>
              <w:jc w:val="center"/>
              <w:rPr>
                <w:color w:val="000000"/>
                <w:szCs w:val="21"/>
              </w:rPr>
            </w:pPr>
          </w:p>
        </w:tc>
        <w:tc>
          <w:tcPr>
            <w:tcW w:w="2361" w:type="dxa"/>
            <w:vAlign w:val="center"/>
          </w:tcPr>
          <w:p w14:paraId="2A30861B">
            <w:pPr>
              <w:tabs>
                <w:tab w:val="center" w:pos="1115"/>
                <w:tab w:val="right" w:pos="2231"/>
              </w:tabs>
              <w:spacing w:line="276" w:lineRule="auto"/>
              <w:jc w:val="center"/>
              <w:rPr>
                <w:color w:val="000000"/>
                <w:szCs w:val="21"/>
              </w:rPr>
            </w:pPr>
            <w:r>
              <w:rPr>
                <w:color w:val="000000"/>
                <w:szCs w:val="21"/>
              </w:rPr>
              <w:t>机房底板外</w:t>
            </w:r>
          </w:p>
        </w:tc>
        <w:tc>
          <w:tcPr>
            <w:tcW w:w="3878" w:type="dxa"/>
            <w:vAlign w:val="center"/>
          </w:tcPr>
          <w:p w14:paraId="229589C2">
            <w:pPr>
              <w:tabs>
                <w:tab w:val="center" w:pos="1115"/>
                <w:tab w:val="right" w:pos="2231"/>
              </w:tabs>
              <w:spacing w:line="276" w:lineRule="auto"/>
              <w:jc w:val="center"/>
              <w:rPr>
                <w:color w:val="000000"/>
                <w:szCs w:val="21"/>
              </w:rPr>
            </w:pPr>
            <w:r>
              <w:rPr>
                <w:color w:val="000000"/>
                <w:szCs w:val="21"/>
              </w:rPr>
              <w:t>机房底板外表面与土壤交界处*</w:t>
            </w:r>
          </w:p>
        </w:tc>
        <w:tc>
          <w:tcPr>
            <w:tcW w:w="1702" w:type="dxa"/>
            <w:vAlign w:val="center"/>
          </w:tcPr>
          <w:p w14:paraId="5DD2AA0C">
            <w:pPr>
              <w:tabs>
                <w:tab w:val="center" w:pos="1115"/>
                <w:tab w:val="right" w:pos="2231"/>
              </w:tabs>
              <w:spacing w:line="276" w:lineRule="auto"/>
              <w:jc w:val="center"/>
              <w:rPr>
                <w:color w:val="000000"/>
                <w:szCs w:val="21"/>
              </w:rPr>
            </w:pPr>
            <w:r>
              <w:rPr>
                <w:color w:val="000000"/>
                <w:szCs w:val="21"/>
              </w:rPr>
              <w:t>≤5×10</w:t>
            </w:r>
            <w:r>
              <w:rPr>
                <w:color w:val="000000"/>
                <w:szCs w:val="21"/>
                <w:vertAlign w:val="superscript"/>
              </w:rPr>
              <w:t>3</w:t>
            </w:r>
          </w:p>
        </w:tc>
      </w:tr>
      <w:tr w14:paraId="665D0E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1" w:hRule="atLeast"/>
          <w:jc w:val="center"/>
        </w:trPr>
        <w:tc>
          <w:tcPr>
            <w:tcW w:w="7758" w:type="dxa"/>
            <w:gridSpan w:val="3"/>
            <w:vAlign w:val="center"/>
          </w:tcPr>
          <w:p w14:paraId="24EB7314">
            <w:pPr>
              <w:tabs>
                <w:tab w:val="center" w:pos="1115"/>
                <w:tab w:val="right" w:pos="2231"/>
              </w:tabs>
              <w:spacing w:line="276" w:lineRule="auto"/>
              <w:jc w:val="center"/>
              <w:rPr>
                <w:color w:val="000000"/>
                <w:szCs w:val="21"/>
              </w:rPr>
            </w:pPr>
            <w:r>
              <w:rPr>
                <w:color w:val="000000"/>
                <w:szCs w:val="21"/>
              </w:rPr>
              <w:t>定位CT机房的四周屏蔽墙、机房顶和防护门外</w:t>
            </w:r>
          </w:p>
        </w:tc>
        <w:tc>
          <w:tcPr>
            <w:tcW w:w="1702" w:type="dxa"/>
            <w:vAlign w:val="center"/>
          </w:tcPr>
          <w:p w14:paraId="77AA9683">
            <w:pPr>
              <w:tabs>
                <w:tab w:val="center" w:pos="1115"/>
                <w:tab w:val="right" w:pos="2231"/>
              </w:tabs>
              <w:spacing w:line="276" w:lineRule="auto"/>
              <w:jc w:val="center"/>
              <w:rPr>
                <w:color w:val="000000"/>
                <w:szCs w:val="21"/>
              </w:rPr>
            </w:pPr>
            <w:r>
              <w:rPr>
                <w:color w:val="000000"/>
                <w:szCs w:val="21"/>
              </w:rPr>
              <w:t>≤2.5</w:t>
            </w:r>
          </w:p>
        </w:tc>
      </w:tr>
    </w:tbl>
    <w:p w14:paraId="2C24A7CA">
      <w:pPr>
        <w:rPr>
          <w:color w:val="000000"/>
          <w:sz w:val="18"/>
          <w:szCs w:val="18"/>
        </w:rPr>
      </w:pPr>
      <w:r>
        <w:rPr>
          <w:color w:val="000000"/>
          <w:sz w:val="18"/>
          <w:szCs w:val="18"/>
        </w:rPr>
        <w:t>注：*根据文献《恒健质子治疗装置的辐射与屏蔽设计》（吴青彪等，南方能源建设，2016年第3卷第3期），同时参考日本J-PARC以及中国散裂中子源的辐射防护设计，当混凝土与土壤边界处瞬发辐射剂量率低于5.5mSv/h时，可忽略土壤和地下水的感生放射性。因此，本次评价以“5mSv/h”作为各辐射工作场所地板外表面与土壤交界处的剂量率控制水平。</w:t>
      </w:r>
    </w:p>
    <w:p w14:paraId="0C0A1A91">
      <w:pPr>
        <w:pStyle w:val="4"/>
        <w:rPr>
          <w:rFonts w:eastAsia="宋体"/>
          <w:b/>
          <w:bCs w:val="0"/>
          <w:lang w:eastAsia="zh-CN"/>
        </w:rPr>
      </w:pPr>
      <w:bookmarkStart w:id="270" w:name="_Toc209125193"/>
      <w:bookmarkStart w:id="271" w:name="_Toc71554452"/>
      <w:bookmarkStart w:id="272" w:name="_Toc34738562"/>
      <w:r>
        <w:rPr>
          <w:rFonts w:eastAsia="宋体"/>
          <w:b/>
          <w:bCs w:val="0"/>
          <w:lang w:eastAsia="zh-CN"/>
        </w:rPr>
        <w:t>放射性三废控制要求</w:t>
      </w:r>
      <w:bookmarkEnd w:id="270"/>
    </w:p>
    <w:p w14:paraId="3145A14C">
      <w:pPr>
        <w:pStyle w:val="5"/>
      </w:pPr>
      <w:r>
        <w:rPr>
          <w:lang w:eastAsia="zh-CN"/>
        </w:rPr>
        <w:t>活化空气控制要求</w:t>
      </w:r>
    </w:p>
    <w:p w14:paraId="40E09289">
      <w:pPr>
        <w:pStyle w:val="8"/>
        <w:rPr>
          <w:snapToGrid w:val="0"/>
        </w:rPr>
      </w:pPr>
      <w:r>
        <w:rPr>
          <w:snapToGrid w:val="0"/>
        </w:rPr>
        <w:t>本项目质子治疗系统活化空气的管理按照HJ 1198-2021执行，具体如下：</w:t>
      </w:r>
    </w:p>
    <w:p w14:paraId="02627979">
      <w:pPr>
        <w:pStyle w:val="8"/>
        <w:rPr>
          <w:snapToGrid w:val="0"/>
        </w:rPr>
      </w:pPr>
      <w:r>
        <w:rPr>
          <w:snapToGrid w:val="0"/>
        </w:rPr>
        <w:t>“8.4 气态废物管理要求</w:t>
      </w:r>
    </w:p>
    <w:p w14:paraId="16DAD96C">
      <w:pPr>
        <w:pStyle w:val="8"/>
        <w:rPr>
          <w:snapToGrid w:val="0"/>
        </w:rPr>
      </w:pPr>
      <w:r>
        <w:rPr>
          <w:snapToGrid w:val="0"/>
        </w:rPr>
        <w:t>8.4.1放射治疗室内应设置强制排风系统，采用全排全送的通风方式，换气次数不少于4次/h，排气口位置不得设置在有门、窗或人流较大的过道等位置。</w:t>
      </w:r>
    </w:p>
    <w:p w14:paraId="48FACAF3">
      <w:pPr>
        <w:pStyle w:val="8"/>
        <w:rPr>
          <w:lang w:eastAsia="zh-CN"/>
        </w:rPr>
      </w:pPr>
      <w:r>
        <w:rPr>
          <w:snapToGrid w:val="0"/>
        </w:rPr>
        <w:t>8.4.2质子/重离子加速器停机后，加速器大厅应加强通风排气，采取措施使人员延时进入，以降低活化空气的感生放射性水平，减少人员受照剂量。”</w:t>
      </w:r>
    </w:p>
    <w:p w14:paraId="19346E87">
      <w:pPr>
        <w:pStyle w:val="5"/>
      </w:pPr>
      <w:r>
        <w:rPr>
          <w:lang w:eastAsia="zh-CN"/>
        </w:rPr>
        <w:t>放射性废水</w:t>
      </w:r>
    </w:p>
    <w:p w14:paraId="57CDC614">
      <w:pPr>
        <w:pStyle w:val="8"/>
        <w:rPr>
          <w:szCs w:val="21"/>
          <w:lang w:eastAsia="zh-CN"/>
        </w:rPr>
      </w:pPr>
      <w:r>
        <w:rPr>
          <w:szCs w:val="21"/>
        </w:rPr>
        <w:t>本项目可能产生的放射性废水为质子治疗系统的活化冷却水。正常运行情况下，冷却水循环使用不向环境排放。对于检修期间或发生泄漏事故期间可能产生的放射性废水，排放前需进行取样监测，满足《电离辐射防护与辐射源安全基本标准》（GB18871-2002）中附录A表A1给出的豁免水平（列于</w:t>
      </w:r>
      <w:r>
        <w:fldChar w:fldCharType="begin"/>
      </w:r>
      <w:r>
        <w:instrText xml:space="preserve"> REF _Ref128401923 \h  \* MERGEFORMAT </w:instrText>
      </w:r>
      <w:r>
        <w:fldChar w:fldCharType="separate"/>
      </w:r>
      <w:r>
        <w:t>表 1</w:t>
      </w:r>
      <w:r>
        <w:noBreakHyphen/>
      </w:r>
      <w:r>
        <w:t>5</w:t>
      </w:r>
      <w:r>
        <w:fldChar w:fldCharType="end"/>
      </w:r>
      <w:r>
        <w:t>），</w:t>
      </w:r>
      <w:r>
        <w:rPr>
          <w:szCs w:val="21"/>
        </w:rPr>
        <w:t>方可排放。</w:t>
      </w:r>
    </w:p>
    <w:p w14:paraId="0C34CD2D">
      <w:pPr>
        <w:pStyle w:val="15"/>
      </w:pPr>
      <w:bookmarkStart w:id="273" w:name="_Toc150973437"/>
      <w:bookmarkStart w:id="274" w:name="_Toc110465249"/>
      <w:bookmarkStart w:id="275" w:name="_Ref128401923"/>
      <w:r>
        <w:t xml:space="preserve">表 </w:t>
      </w:r>
      <w:r>
        <w:fldChar w:fldCharType="begin"/>
      </w:r>
      <w:r>
        <w:instrText xml:space="preserve"> STYLEREF 1 \s </w:instrText>
      </w:r>
      <w:r>
        <w:fldChar w:fldCharType="separate"/>
      </w:r>
      <w:r>
        <w:t>1</w:t>
      </w:r>
      <w:r>
        <w:fldChar w:fldCharType="end"/>
      </w:r>
      <w:r>
        <w:noBreakHyphen/>
      </w:r>
      <w:r>
        <w:fldChar w:fldCharType="begin"/>
      </w:r>
      <w:r>
        <w:instrText xml:space="preserve"> SEQ 表 \* ARABIC \s 1 </w:instrText>
      </w:r>
      <w:r>
        <w:fldChar w:fldCharType="separate"/>
      </w:r>
      <w:r>
        <w:t>5</w:t>
      </w:r>
      <w:r>
        <w:fldChar w:fldCharType="end"/>
      </w:r>
      <w:bookmarkEnd w:id="273"/>
      <w:bookmarkEnd w:id="274"/>
      <w:bookmarkEnd w:id="275"/>
      <w:r>
        <w:t>部分放射性核素的豁免活度浓度与豁免活度</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2"/>
        <w:gridCol w:w="2671"/>
        <w:gridCol w:w="2849"/>
      </w:tblGrid>
      <w:tr w14:paraId="556A0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2923" w:type="dxa"/>
            <w:tcBorders>
              <w:top w:val="single" w:color="auto" w:sz="4" w:space="0"/>
              <w:left w:val="single" w:color="auto" w:sz="4" w:space="0"/>
              <w:bottom w:val="single" w:color="auto" w:sz="4" w:space="0"/>
              <w:right w:val="single" w:color="auto" w:sz="4" w:space="0"/>
            </w:tcBorders>
          </w:tcPr>
          <w:p w14:paraId="54F38EE6">
            <w:pPr>
              <w:spacing w:line="360" w:lineRule="exact"/>
              <w:jc w:val="center"/>
              <w:rPr>
                <w:bCs/>
                <w:color w:val="000000"/>
                <w:sz w:val="24"/>
              </w:rPr>
            </w:pPr>
            <w:r>
              <w:rPr>
                <w:bCs/>
                <w:color w:val="000000"/>
                <w:sz w:val="24"/>
              </w:rPr>
              <w:t>核素</w:t>
            </w:r>
          </w:p>
        </w:tc>
        <w:tc>
          <w:tcPr>
            <w:tcW w:w="2600" w:type="dxa"/>
            <w:tcBorders>
              <w:top w:val="single" w:color="auto" w:sz="4" w:space="0"/>
              <w:left w:val="single" w:color="auto" w:sz="4" w:space="0"/>
              <w:bottom w:val="single" w:color="auto" w:sz="4" w:space="0"/>
              <w:right w:val="single" w:color="auto" w:sz="4" w:space="0"/>
            </w:tcBorders>
          </w:tcPr>
          <w:p w14:paraId="1EBDFC73">
            <w:pPr>
              <w:spacing w:line="360" w:lineRule="exact"/>
              <w:jc w:val="center"/>
              <w:rPr>
                <w:bCs/>
                <w:color w:val="000000"/>
                <w:sz w:val="24"/>
              </w:rPr>
            </w:pPr>
            <w:r>
              <w:rPr>
                <w:bCs/>
                <w:color w:val="000000"/>
                <w:sz w:val="24"/>
              </w:rPr>
              <w:t>活度浓度（Bq/g）</w:t>
            </w:r>
          </w:p>
        </w:tc>
        <w:tc>
          <w:tcPr>
            <w:tcW w:w="2773" w:type="dxa"/>
            <w:tcBorders>
              <w:top w:val="single" w:color="auto" w:sz="4" w:space="0"/>
              <w:left w:val="single" w:color="auto" w:sz="4" w:space="0"/>
              <w:bottom w:val="single" w:color="auto" w:sz="4" w:space="0"/>
              <w:right w:val="single" w:color="auto" w:sz="4" w:space="0"/>
            </w:tcBorders>
          </w:tcPr>
          <w:p w14:paraId="798A9B05">
            <w:pPr>
              <w:spacing w:line="360" w:lineRule="exact"/>
              <w:jc w:val="center"/>
              <w:rPr>
                <w:bCs/>
                <w:color w:val="000000"/>
                <w:sz w:val="24"/>
              </w:rPr>
            </w:pPr>
            <w:r>
              <w:rPr>
                <w:bCs/>
                <w:color w:val="000000"/>
                <w:sz w:val="24"/>
              </w:rPr>
              <w:t>活度（Bq）</w:t>
            </w:r>
          </w:p>
        </w:tc>
      </w:tr>
      <w:tr w14:paraId="4C393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923" w:type="dxa"/>
            <w:tcBorders>
              <w:top w:val="single" w:color="auto" w:sz="4" w:space="0"/>
              <w:left w:val="single" w:color="auto" w:sz="4" w:space="0"/>
              <w:bottom w:val="single" w:color="auto" w:sz="4" w:space="0"/>
              <w:right w:val="single" w:color="auto" w:sz="4" w:space="0"/>
            </w:tcBorders>
            <w:vAlign w:val="center"/>
          </w:tcPr>
          <w:p w14:paraId="5FACB1B3">
            <w:pPr>
              <w:spacing w:line="360" w:lineRule="exact"/>
              <w:jc w:val="center"/>
              <w:rPr>
                <w:bCs/>
                <w:color w:val="000000"/>
                <w:sz w:val="24"/>
              </w:rPr>
            </w:pPr>
            <w:r>
              <w:rPr>
                <w:bCs/>
                <w:color w:val="000000"/>
                <w:sz w:val="24"/>
              </w:rPr>
              <w:t>H-3</w:t>
            </w:r>
          </w:p>
        </w:tc>
        <w:tc>
          <w:tcPr>
            <w:tcW w:w="2600" w:type="dxa"/>
            <w:tcBorders>
              <w:top w:val="single" w:color="auto" w:sz="4" w:space="0"/>
              <w:left w:val="single" w:color="auto" w:sz="4" w:space="0"/>
              <w:bottom w:val="single" w:color="auto" w:sz="4" w:space="0"/>
              <w:right w:val="single" w:color="auto" w:sz="4" w:space="0"/>
            </w:tcBorders>
          </w:tcPr>
          <w:p w14:paraId="7F2A0195">
            <w:pPr>
              <w:spacing w:line="360" w:lineRule="exact"/>
              <w:jc w:val="center"/>
              <w:rPr>
                <w:bCs/>
                <w:color w:val="000000"/>
                <w:sz w:val="24"/>
              </w:rPr>
            </w:pPr>
            <w:r>
              <w:rPr>
                <w:bCs/>
                <w:color w:val="000000"/>
                <w:sz w:val="24"/>
              </w:rPr>
              <w:t>1.0E+06</w:t>
            </w:r>
          </w:p>
        </w:tc>
        <w:tc>
          <w:tcPr>
            <w:tcW w:w="2773" w:type="dxa"/>
            <w:tcBorders>
              <w:top w:val="single" w:color="auto" w:sz="4" w:space="0"/>
              <w:left w:val="single" w:color="auto" w:sz="4" w:space="0"/>
              <w:bottom w:val="single" w:color="auto" w:sz="4" w:space="0"/>
              <w:right w:val="single" w:color="auto" w:sz="4" w:space="0"/>
            </w:tcBorders>
          </w:tcPr>
          <w:p w14:paraId="098B9E01">
            <w:pPr>
              <w:spacing w:line="360" w:lineRule="exact"/>
              <w:jc w:val="center"/>
              <w:rPr>
                <w:bCs/>
                <w:color w:val="000000"/>
                <w:sz w:val="24"/>
              </w:rPr>
            </w:pPr>
            <w:r>
              <w:rPr>
                <w:bCs/>
                <w:color w:val="000000"/>
                <w:sz w:val="24"/>
              </w:rPr>
              <w:t>1.0E+09</w:t>
            </w:r>
          </w:p>
        </w:tc>
      </w:tr>
      <w:tr w14:paraId="7640F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923" w:type="dxa"/>
            <w:tcBorders>
              <w:top w:val="single" w:color="auto" w:sz="4" w:space="0"/>
              <w:left w:val="single" w:color="auto" w:sz="4" w:space="0"/>
              <w:bottom w:val="single" w:color="auto" w:sz="4" w:space="0"/>
              <w:right w:val="single" w:color="auto" w:sz="4" w:space="0"/>
            </w:tcBorders>
            <w:vAlign w:val="center"/>
          </w:tcPr>
          <w:p w14:paraId="4AE5B1B1">
            <w:pPr>
              <w:spacing w:line="360" w:lineRule="exact"/>
              <w:jc w:val="center"/>
              <w:rPr>
                <w:bCs/>
                <w:color w:val="000000"/>
                <w:sz w:val="24"/>
              </w:rPr>
            </w:pPr>
            <w:r>
              <w:rPr>
                <w:bCs/>
                <w:color w:val="000000"/>
                <w:sz w:val="24"/>
              </w:rPr>
              <w:t>Be-7</w:t>
            </w:r>
          </w:p>
        </w:tc>
        <w:tc>
          <w:tcPr>
            <w:tcW w:w="2600" w:type="dxa"/>
            <w:tcBorders>
              <w:top w:val="single" w:color="auto" w:sz="4" w:space="0"/>
              <w:left w:val="single" w:color="auto" w:sz="4" w:space="0"/>
              <w:bottom w:val="single" w:color="auto" w:sz="4" w:space="0"/>
              <w:right w:val="single" w:color="auto" w:sz="4" w:space="0"/>
            </w:tcBorders>
          </w:tcPr>
          <w:p w14:paraId="68DEAFD6">
            <w:pPr>
              <w:spacing w:line="360" w:lineRule="exact"/>
              <w:jc w:val="center"/>
              <w:rPr>
                <w:bCs/>
                <w:color w:val="000000"/>
                <w:sz w:val="24"/>
              </w:rPr>
            </w:pPr>
            <w:r>
              <w:rPr>
                <w:bCs/>
                <w:color w:val="000000"/>
                <w:sz w:val="24"/>
              </w:rPr>
              <w:t>1.0E+03</w:t>
            </w:r>
          </w:p>
        </w:tc>
        <w:tc>
          <w:tcPr>
            <w:tcW w:w="2773" w:type="dxa"/>
            <w:tcBorders>
              <w:top w:val="single" w:color="auto" w:sz="4" w:space="0"/>
              <w:left w:val="single" w:color="auto" w:sz="4" w:space="0"/>
              <w:bottom w:val="single" w:color="auto" w:sz="4" w:space="0"/>
              <w:right w:val="single" w:color="auto" w:sz="4" w:space="0"/>
            </w:tcBorders>
          </w:tcPr>
          <w:p w14:paraId="420C8B18">
            <w:pPr>
              <w:spacing w:line="360" w:lineRule="exact"/>
              <w:jc w:val="center"/>
              <w:rPr>
                <w:bCs/>
                <w:color w:val="000000"/>
                <w:sz w:val="24"/>
              </w:rPr>
            </w:pPr>
            <w:r>
              <w:rPr>
                <w:bCs/>
                <w:color w:val="000000"/>
                <w:sz w:val="24"/>
              </w:rPr>
              <w:t>1.0E+07</w:t>
            </w:r>
          </w:p>
        </w:tc>
      </w:tr>
    </w:tbl>
    <w:p w14:paraId="6C9AFFE4">
      <w:pPr>
        <w:pStyle w:val="8"/>
        <w:rPr>
          <w:szCs w:val="21"/>
          <w:lang w:eastAsia="zh-CN"/>
        </w:rPr>
      </w:pPr>
      <w:r>
        <w:rPr>
          <w:rFonts w:hint="eastAsia"/>
          <w:szCs w:val="21"/>
          <w:lang w:eastAsia="zh-CN"/>
        </w:rPr>
        <w:t>主要考虑H-3、Be-7的原因在于：冷却水中主要感生放射性核素包括 H-3、Be-7、C-11、N-13、O-15，而 C-11、N-13、O-15的半衰期分别为 20.4min、9.97min、2.04min，因此经过较长一段时间的衰变后，冷却水中基本不存在 C-11、N-13、O-15，排放时主要关注半衰期较长的 H-3（12.3a）和 Be-7（53.1d）。</w:t>
      </w:r>
    </w:p>
    <w:p w14:paraId="5B346B81">
      <w:pPr>
        <w:pStyle w:val="8"/>
      </w:pPr>
      <w:r>
        <w:t>本项目放射治疗机房放射性废水管理按照HJ 1198-2021执行，具体如下：</w:t>
      </w:r>
    </w:p>
    <w:p w14:paraId="050D1067">
      <w:pPr>
        <w:pStyle w:val="8"/>
      </w:pPr>
      <w:r>
        <w:t>“8.3 液态废物管理要求</w:t>
      </w:r>
    </w:p>
    <w:p w14:paraId="647929AC">
      <w:pPr>
        <w:pStyle w:val="8"/>
        <w:rPr>
          <w:rStyle w:val="73"/>
          <w:sz w:val="24"/>
          <w:szCs w:val="24"/>
          <w:lang w:val="zh-CN" w:eastAsia="zh-CN" w:bidi="ar-SA"/>
        </w:rPr>
      </w:pPr>
      <w:r>
        <w:t>事故或检修状况下质子/重离子加速器的活化冷却水按照放射性废液管理要求妥善收集贮存，暂存衰变至低于豁免水平后可作为普通废液处理，并做好存档记录。”</w:t>
      </w:r>
      <w:r>
        <w:rPr>
          <w:rFonts w:hint="eastAsia"/>
          <w:lang w:eastAsia="zh-CN"/>
        </w:rPr>
        <w:t>此处豁免定义为各种放射性核素的活度或活度浓度与其相应的豁免活度或豁免活度浓度之比的和小于</w:t>
      </w:r>
      <w:r>
        <w:rPr>
          <w:lang w:eastAsia="zh-CN"/>
        </w:rPr>
        <w:t>1</w:t>
      </w:r>
      <w:r>
        <w:rPr>
          <w:rFonts w:hint="eastAsia"/>
          <w:lang w:eastAsia="zh-CN"/>
        </w:rPr>
        <w:t>。</w:t>
      </w:r>
    </w:p>
    <w:p w14:paraId="08643FCF">
      <w:pPr>
        <w:pStyle w:val="5"/>
      </w:pPr>
      <w:r>
        <w:rPr>
          <w:lang w:eastAsia="zh-CN"/>
        </w:rPr>
        <w:t>放射性固体废物控制要求</w:t>
      </w:r>
    </w:p>
    <w:p w14:paraId="4E0AE634">
      <w:pPr>
        <w:pStyle w:val="8"/>
        <w:rPr>
          <w:rStyle w:val="73"/>
          <w:sz w:val="24"/>
          <w:szCs w:val="24"/>
          <w:lang w:val="zh-CN" w:eastAsia="zh-CN" w:bidi="ar-SA"/>
        </w:rPr>
      </w:pPr>
      <w:r>
        <w:rPr>
          <w:rStyle w:val="73"/>
          <w:sz w:val="24"/>
          <w:szCs w:val="24"/>
          <w:lang w:val="zh-CN" w:eastAsia="zh-CN" w:bidi="ar-SA"/>
        </w:rPr>
        <w:t>本项目的放射性固体废物主要为质子治疗系统拆卸下来的活化部件、处理活化冷却水的废滤芯等。</w:t>
      </w:r>
    </w:p>
    <w:p w14:paraId="132E3954">
      <w:pPr>
        <w:pStyle w:val="8"/>
        <w:rPr>
          <w:rStyle w:val="73"/>
          <w:sz w:val="24"/>
          <w:szCs w:val="24"/>
          <w:lang w:val="zh-CN" w:eastAsia="zh-CN" w:bidi="ar-SA"/>
        </w:rPr>
      </w:pPr>
      <w:r>
        <w:rPr>
          <w:rStyle w:val="73"/>
          <w:sz w:val="24"/>
          <w:szCs w:val="24"/>
          <w:lang w:val="zh-CN" w:eastAsia="zh-CN" w:bidi="ar-SA"/>
        </w:rPr>
        <w:t>本项目质子治疗系统放射性固体废物管理按照HJ 1198-2021执行，具体如下：</w:t>
      </w:r>
    </w:p>
    <w:p w14:paraId="6F59F639">
      <w:pPr>
        <w:pStyle w:val="8"/>
        <w:rPr>
          <w:rStyle w:val="73"/>
          <w:sz w:val="24"/>
          <w:szCs w:val="24"/>
          <w:lang w:val="zh-CN" w:eastAsia="zh-CN" w:bidi="ar-SA"/>
        </w:rPr>
      </w:pPr>
      <w:r>
        <w:rPr>
          <w:rStyle w:val="73"/>
          <w:sz w:val="24"/>
          <w:szCs w:val="24"/>
          <w:lang w:val="zh-CN" w:eastAsia="zh-CN" w:bidi="ar-SA"/>
        </w:rPr>
        <w:t>“8.2.2.1 质子/重离子加速器、直线加速器等治疗装置在调试及运行过程中，如活化后的回旋加速器、准直器、束流阻止器及加速器靶等组成部件，在更换或退役时，应作为放射性固体废物处理，拆卸后先放进屏蔽容器或固态废物暂存间衰变暂存，最终送交有资质的单位收贮。</w:t>
      </w:r>
    </w:p>
    <w:p w14:paraId="6947D713">
      <w:pPr>
        <w:pStyle w:val="8"/>
        <w:rPr>
          <w:rStyle w:val="73"/>
          <w:sz w:val="24"/>
          <w:szCs w:val="24"/>
          <w:lang w:val="zh-CN" w:eastAsia="zh-CN" w:bidi="ar-SA"/>
        </w:rPr>
      </w:pPr>
      <w:r>
        <w:rPr>
          <w:rStyle w:val="73"/>
          <w:sz w:val="24"/>
          <w:szCs w:val="24"/>
          <w:lang w:val="zh-CN" w:eastAsia="zh-CN" w:bidi="ar-SA"/>
        </w:rPr>
        <w:t>8.2.2.2 低水平的活化部件如质子/重离子加速器治疗头器件、磁铁等，以及处理质子/重离子加速器冷却水的废树脂，集中放置在固态废物暂存间暂存衰变，经衰变后仍超出清洁解控水平的（放射性废物豁免的活度、活度浓度见附录B）送交有资质的单位收贮。</w:t>
      </w:r>
    </w:p>
    <w:p w14:paraId="0412E32D">
      <w:pPr>
        <w:pStyle w:val="8"/>
        <w:rPr>
          <w:rStyle w:val="73"/>
          <w:sz w:val="24"/>
          <w:szCs w:val="24"/>
          <w:lang w:val="zh-CN" w:eastAsia="zh-CN" w:bidi="ar-SA"/>
        </w:rPr>
      </w:pPr>
      <w:r>
        <w:rPr>
          <w:rStyle w:val="73"/>
          <w:sz w:val="24"/>
          <w:szCs w:val="24"/>
          <w:lang w:val="zh-CN" w:eastAsia="zh-CN" w:bidi="ar-SA"/>
        </w:rPr>
        <w:t>8.2.2.3 建立放射性固态废物台账，存放及处置前进行监测，记录部件名称、质量、辐射类别、监测设备、监测结果（剂量当量率)、监测日期、去向等相关信息，低于清洁解控水平的可作为一般固态废物处置，并做好存档记录。”</w:t>
      </w:r>
    </w:p>
    <w:p w14:paraId="78A151B9">
      <w:pPr>
        <w:pStyle w:val="8"/>
        <w:rPr>
          <w:lang w:eastAsia="zh-CN"/>
        </w:rPr>
      </w:pPr>
      <w:r>
        <w:rPr>
          <w:rStyle w:val="73"/>
          <w:sz w:val="24"/>
          <w:szCs w:val="24"/>
          <w:lang w:val="zh-CN" w:eastAsia="zh-CN" w:bidi="ar-SA"/>
        </w:rPr>
        <w:t>HJ 1198-2021附录B表B.1列出了对放射治疗活动中可能产生的含人工放射性核素固体物质的豁免水平和解控水平，具体见</w:t>
      </w:r>
      <w:r>
        <w:rPr>
          <w:lang w:eastAsia="zh-CN"/>
        </w:rPr>
        <w:t>下表。</w:t>
      </w:r>
    </w:p>
    <w:p w14:paraId="5FC918D9">
      <w:pPr>
        <w:pStyle w:val="15"/>
        <w:keepNext/>
        <w:ind w:right="720"/>
      </w:pPr>
      <w:bookmarkStart w:id="276" w:name="_Toc150973438"/>
      <w:r>
        <w:t xml:space="preserve">表 </w:t>
      </w:r>
      <w:r>
        <w:fldChar w:fldCharType="begin"/>
      </w:r>
      <w:r>
        <w:instrText xml:space="preserve"> STYLEREF 1 \s </w:instrText>
      </w:r>
      <w:r>
        <w:fldChar w:fldCharType="separate"/>
      </w:r>
      <w:r>
        <w:t>1</w:t>
      </w:r>
      <w:r>
        <w:fldChar w:fldCharType="end"/>
      </w:r>
      <w:r>
        <w:noBreakHyphen/>
      </w:r>
      <w:r>
        <w:fldChar w:fldCharType="begin"/>
      </w:r>
      <w:r>
        <w:instrText xml:space="preserve"> SEQ 表 \* ARABIC \s 1 </w:instrText>
      </w:r>
      <w:r>
        <w:fldChar w:fldCharType="separate"/>
      </w:r>
      <w:r>
        <w:t>6</w:t>
      </w:r>
      <w:r>
        <w:fldChar w:fldCharType="end"/>
      </w:r>
      <w:r>
        <w:t>部分含人工放射性核素固体物质的豁免水平和解控水平</w:t>
      </w:r>
      <w:bookmarkEnd w:id="276"/>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5"/>
        <w:gridCol w:w="2386"/>
        <w:gridCol w:w="2403"/>
        <w:gridCol w:w="2098"/>
      </w:tblGrid>
      <w:tr w14:paraId="641C0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40CB1360">
            <w:pPr>
              <w:spacing w:line="360" w:lineRule="exact"/>
              <w:jc w:val="center"/>
              <w:rPr>
                <w:bCs/>
                <w:color w:val="000000"/>
                <w:szCs w:val="21"/>
              </w:rPr>
            </w:pPr>
            <w:r>
              <w:rPr>
                <w:bCs/>
                <w:color w:val="000000"/>
                <w:szCs w:val="21"/>
              </w:rPr>
              <w:t>核素</w:t>
            </w:r>
          </w:p>
        </w:tc>
        <w:tc>
          <w:tcPr>
            <w:tcW w:w="2371" w:type="dxa"/>
            <w:tcBorders>
              <w:top w:val="single" w:color="auto" w:sz="4" w:space="0"/>
              <w:left w:val="single" w:color="auto" w:sz="4" w:space="0"/>
              <w:bottom w:val="single" w:color="auto" w:sz="4" w:space="0"/>
              <w:right w:val="single" w:color="auto" w:sz="4" w:space="0"/>
            </w:tcBorders>
            <w:vAlign w:val="center"/>
          </w:tcPr>
          <w:p w14:paraId="49B31BD9">
            <w:pPr>
              <w:spacing w:line="360" w:lineRule="exact"/>
              <w:jc w:val="center"/>
              <w:rPr>
                <w:bCs/>
                <w:color w:val="000000"/>
                <w:szCs w:val="21"/>
              </w:rPr>
            </w:pPr>
            <w:r>
              <w:rPr>
                <w:bCs/>
                <w:color w:val="000000"/>
                <w:szCs w:val="21"/>
              </w:rPr>
              <w:t>活度浓度</w:t>
            </w:r>
            <w:r>
              <w:rPr>
                <w:bCs/>
                <w:color w:val="000000"/>
                <w:szCs w:val="21"/>
                <w:vertAlign w:val="superscript"/>
              </w:rPr>
              <w:t>a</w:t>
            </w:r>
            <w:r>
              <w:rPr>
                <w:bCs/>
                <w:color w:val="000000"/>
                <w:szCs w:val="21"/>
              </w:rPr>
              <w:t>（Bq/g）</w:t>
            </w:r>
          </w:p>
        </w:tc>
        <w:tc>
          <w:tcPr>
            <w:tcW w:w="2390" w:type="dxa"/>
            <w:tcBorders>
              <w:top w:val="single" w:color="auto" w:sz="4" w:space="0"/>
              <w:left w:val="single" w:color="auto" w:sz="4" w:space="0"/>
              <w:bottom w:val="single" w:color="auto" w:sz="4" w:space="0"/>
              <w:right w:val="single" w:color="auto" w:sz="4" w:space="0"/>
            </w:tcBorders>
            <w:vAlign w:val="center"/>
          </w:tcPr>
          <w:p w14:paraId="774022BA">
            <w:pPr>
              <w:spacing w:line="360" w:lineRule="exact"/>
              <w:jc w:val="center"/>
              <w:rPr>
                <w:bCs/>
                <w:color w:val="000000"/>
                <w:szCs w:val="21"/>
              </w:rPr>
            </w:pPr>
            <w:r>
              <w:rPr>
                <w:bCs/>
                <w:color w:val="000000"/>
                <w:szCs w:val="21"/>
              </w:rPr>
              <w:t>活度浓度</w:t>
            </w:r>
            <w:r>
              <w:rPr>
                <w:bCs/>
                <w:color w:val="000000"/>
                <w:szCs w:val="21"/>
                <w:vertAlign w:val="superscript"/>
              </w:rPr>
              <w:t>b</w:t>
            </w:r>
            <w:r>
              <w:rPr>
                <w:bCs/>
                <w:color w:val="000000"/>
                <w:szCs w:val="21"/>
              </w:rPr>
              <w:t>（Bq/g）</w:t>
            </w:r>
          </w:p>
        </w:tc>
        <w:tc>
          <w:tcPr>
            <w:tcW w:w="2094" w:type="dxa"/>
            <w:tcBorders>
              <w:top w:val="single" w:color="auto" w:sz="4" w:space="0"/>
              <w:left w:val="single" w:color="auto" w:sz="4" w:space="0"/>
              <w:bottom w:val="single" w:color="auto" w:sz="4" w:space="0"/>
              <w:right w:val="single" w:color="auto" w:sz="4" w:space="0"/>
            </w:tcBorders>
          </w:tcPr>
          <w:p w14:paraId="72814409">
            <w:pPr>
              <w:spacing w:line="360" w:lineRule="exact"/>
              <w:jc w:val="center"/>
              <w:rPr>
                <w:bCs/>
                <w:color w:val="000000"/>
                <w:szCs w:val="21"/>
              </w:rPr>
            </w:pPr>
            <w:r>
              <w:rPr>
                <w:bCs/>
                <w:color w:val="000000"/>
                <w:szCs w:val="21"/>
              </w:rPr>
              <w:t>活度</w:t>
            </w:r>
            <w:r>
              <w:rPr>
                <w:bCs/>
                <w:color w:val="000000"/>
                <w:szCs w:val="21"/>
                <w:vertAlign w:val="superscript"/>
              </w:rPr>
              <w:t>b</w:t>
            </w:r>
            <w:r>
              <w:rPr>
                <w:bCs/>
                <w:color w:val="000000"/>
                <w:szCs w:val="21"/>
              </w:rPr>
              <w:t>（Bq）</w:t>
            </w:r>
          </w:p>
        </w:tc>
      </w:tr>
      <w:tr w14:paraId="09FC3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215AC26F">
            <w:pPr>
              <w:spacing w:line="360" w:lineRule="exact"/>
              <w:jc w:val="center"/>
              <w:rPr>
                <w:bCs/>
                <w:color w:val="000000"/>
                <w:szCs w:val="21"/>
              </w:rPr>
            </w:pPr>
            <w:r>
              <w:rPr>
                <w:bCs/>
                <w:color w:val="000000"/>
                <w:szCs w:val="21"/>
                <w:vertAlign w:val="superscript"/>
              </w:rPr>
              <w:t>3</w:t>
            </w:r>
            <w:r>
              <w:rPr>
                <w:bCs/>
                <w:color w:val="000000"/>
                <w:szCs w:val="21"/>
              </w:rPr>
              <w:t>H</w:t>
            </w:r>
          </w:p>
        </w:tc>
        <w:tc>
          <w:tcPr>
            <w:tcW w:w="2371" w:type="dxa"/>
            <w:tcBorders>
              <w:top w:val="single" w:color="auto" w:sz="4" w:space="0"/>
              <w:left w:val="single" w:color="auto" w:sz="4" w:space="0"/>
              <w:bottom w:val="single" w:color="auto" w:sz="4" w:space="0"/>
              <w:right w:val="single" w:color="auto" w:sz="4" w:space="0"/>
            </w:tcBorders>
            <w:vAlign w:val="center"/>
          </w:tcPr>
          <w:p w14:paraId="31E1D81E">
            <w:pPr>
              <w:spacing w:line="360" w:lineRule="exact"/>
              <w:jc w:val="center"/>
              <w:rPr>
                <w:bCs/>
                <w:color w:val="000000"/>
                <w:szCs w:val="21"/>
              </w:rPr>
            </w:pPr>
            <w:r>
              <w:rPr>
                <w:bCs/>
                <w:color w:val="000000"/>
                <w:szCs w:val="21"/>
              </w:rPr>
              <w:t>1E+02</w:t>
            </w:r>
          </w:p>
        </w:tc>
        <w:tc>
          <w:tcPr>
            <w:tcW w:w="2390" w:type="dxa"/>
            <w:tcBorders>
              <w:top w:val="single" w:color="auto" w:sz="4" w:space="0"/>
              <w:left w:val="single" w:color="auto" w:sz="4" w:space="0"/>
              <w:bottom w:val="single" w:color="auto" w:sz="4" w:space="0"/>
              <w:right w:val="single" w:color="auto" w:sz="4" w:space="0"/>
            </w:tcBorders>
            <w:vAlign w:val="center"/>
          </w:tcPr>
          <w:p w14:paraId="402CCECA">
            <w:pPr>
              <w:spacing w:line="360" w:lineRule="exact"/>
              <w:jc w:val="center"/>
              <w:rPr>
                <w:bCs/>
                <w:color w:val="000000"/>
                <w:szCs w:val="21"/>
              </w:rPr>
            </w:pPr>
            <w:r>
              <w:rPr>
                <w:bCs/>
                <w:color w:val="000000"/>
                <w:szCs w:val="21"/>
              </w:rPr>
              <w:t>1E+06</w:t>
            </w:r>
          </w:p>
        </w:tc>
        <w:tc>
          <w:tcPr>
            <w:tcW w:w="2094" w:type="dxa"/>
            <w:tcBorders>
              <w:top w:val="single" w:color="auto" w:sz="4" w:space="0"/>
              <w:left w:val="single" w:color="auto" w:sz="4" w:space="0"/>
              <w:bottom w:val="single" w:color="auto" w:sz="4" w:space="0"/>
              <w:right w:val="single" w:color="auto" w:sz="4" w:space="0"/>
            </w:tcBorders>
            <w:vAlign w:val="center"/>
          </w:tcPr>
          <w:p w14:paraId="1205F7B3">
            <w:pPr>
              <w:spacing w:line="360" w:lineRule="exact"/>
              <w:jc w:val="center"/>
              <w:rPr>
                <w:bCs/>
                <w:color w:val="000000"/>
                <w:szCs w:val="21"/>
              </w:rPr>
            </w:pPr>
            <w:r>
              <w:rPr>
                <w:bCs/>
                <w:color w:val="000000"/>
                <w:szCs w:val="21"/>
              </w:rPr>
              <w:t>1E+09</w:t>
            </w:r>
          </w:p>
        </w:tc>
      </w:tr>
      <w:tr w14:paraId="75F00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2C27D205">
            <w:pPr>
              <w:spacing w:line="360" w:lineRule="exact"/>
              <w:jc w:val="center"/>
              <w:rPr>
                <w:bCs/>
                <w:color w:val="000000"/>
                <w:szCs w:val="21"/>
              </w:rPr>
            </w:pPr>
            <w:r>
              <w:rPr>
                <w:bCs/>
                <w:color w:val="000000"/>
                <w:szCs w:val="21"/>
                <w:vertAlign w:val="superscript"/>
              </w:rPr>
              <w:t>14</w:t>
            </w:r>
            <w:r>
              <w:rPr>
                <w:bCs/>
                <w:color w:val="000000"/>
                <w:szCs w:val="21"/>
              </w:rPr>
              <w:t>C</w:t>
            </w:r>
          </w:p>
        </w:tc>
        <w:tc>
          <w:tcPr>
            <w:tcW w:w="2371" w:type="dxa"/>
            <w:tcBorders>
              <w:top w:val="single" w:color="auto" w:sz="4" w:space="0"/>
              <w:left w:val="single" w:color="auto" w:sz="4" w:space="0"/>
              <w:bottom w:val="single" w:color="auto" w:sz="4" w:space="0"/>
              <w:right w:val="single" w:color="auto" w:sz="4" w:space="0"/>
            </w:tcBorders>
            <w:vAlign w:val="center"/>
          </w:tcPr>
          <w:p w14:paraId="0EB0E468">
            <w:pPr>
              <w:spacing w:line="360" w:lineRule="exact"/>
              <w:jc w:val="center"/>
              <w:rPr>
                <w:bCs/>
                <w:color w:val="000000"/>
                <w:szCs w:val="21"/>
              </w:rPr>
            </w:pPr>
            <w:r>
              <w:rPr>
                <w:bCs/>
                <w:color w:val="000000"/>
                <w:szCs w:val="21"/>
              </w:rPr>
              <w:t>1E+00</w:t>
            </w:r>
          </w:p>
        </w:tc>
        <w:tc>
          <w:tcPr>
            <w:tcW w:w="2390" w:type="dxa"/>
            <w:tcBorders>
              <w:top w:val="single" w:color="auto" w:sz="4" w:space="0"/>
              <w:left w:val="single" w:color="auto" w:sz="4" w:space="0"/>
              <w:bottom w:val="single" w:color="auto" w:sz="4" w:space="0"/>
              <w:right w:val="single" w:color="auto" w:sz="4" w:space="0"/>
            </w:tcBorders>
            <w:vAlign w:val="center"/>
          </w:tcPr>
          <w:p w14:paraId="33373469">
            <w:pPr>
              <w:spacing w:line="360" w:lineRule="exact"/>
              <w:jc w:val="center"/>
              <w:rPr>
                <w:bCs/>
                <w:color w:val="000000"/>
                <w:szCs w:val="21"/>
              </w:rPr>
            </w:pPr>
            <w:r>
              <w:rPr>
                <w:bCs/>
                <w:color w:val="000000"/>
                <w:szCs w:val="21"/>
              </w:rPr>
              <w:t>1E+04</w:t>
            </w:r>
          </w:p>
        </w:tc>
        <w:tc>
          <w:tcPr>
            <w:tcW w:w="2094" w:type="dxa"/>
            <w:tcBorders>
              <w:top w:val="single" w:color="auto" w:sz="4" w:space="0"/>
              <w:left w:val="single" w:color="auto" w:sz="4" w:space="0"/>
              <w:bottom w:val="single" w:color="auto" w:sz="4" w:space="0"/>
              <w:right w:val="single" w:color="auto" w:sz="4" w:space="0"/>
            </w:tcBorders>
            <w:vAlign w:val="center"/>
          </w:tcPr>
          <w:p w14:paraId="67E276AF">
            <w:pPr>
              <w:spacing w:line="360" w:lineRule="exact"/>
              <w:jc w:val="center"/>
              <w:rPr>
                <w:bCs/>
                <w:color w:val="000000"/>
                <w:szCs w:val="21"/>
              </w:rPr>
            </w:pPr>
            <w:r>
              <w:rPr>
                <w:bCs/>
                <w:color w:val="000000"/>
                <w:szCs w:val="21"/>
              </w:rPr>
              <w:t>1E+07</w:t>
            </w:r>
          </w:p>
        </w:tc>
      </w:tr>
      <w:tr w14:paraId="5FB4F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159F2C8C">
            <w:pPr>
              <w:jc w:val="center"/>
              <w:rPr>
                <w:color w:val="000000"/>
                <w:sz w:val="22"/>
                <w:szCs w:val="22"/>
              </w:rPr>
            </w:pPr>
            <w:r>
              <w:rPr>
                <w:color w:val="000000"/>
                <w:sz w:val="22"/>
                <w:szCs w:val="22"/>
                <w:vertAlign w:val="superscript"/>
              </w:rPr>
              <w:t>54</w:t>
            </w:r>
            <w:r>
              <w:rPr>
                <w:color w:val="000000"/>
                <w:sz w:val="22"/>
                <w:szCs w:val="22"/>
              </w:rPr>
              <w:t>Mn</w:t>
            </w:r>
          </w:p>
        </w:tc>
        <w:tc>
          <w:tcPr>
            <w:tcW w:w="2371" w:type="dxa"/>
            <w:tcBorders>
              <w:top w:val="single" w:color="auto" w:sz="4" w:space="0"/>
              <w:left w:val="single" w:color="auto" w:sz="4" w:space="0"/>
              <w:bottom w:val="single" w:color="auto" w:sz="4" w:space="0"/>
              <w:right w:val="single" w:color="auto" w:sz="4" w:space="0"/>
            </w:tcBorders>
            <w:vAlign w:val="center"/>
          </w:tcPr>
          <w:p w14:paraId="167CB4AE">
            <w:pPr>
              <w:spacing w:line="360" w:lineRule="exact"/>
              <w:jc w:val="center"/>
              <w:rPr>
                <w:bCs/>
                <w:color w:val="000000"/>
                <w:szCs w:val="21"/>
              </w:rPr>
            </w:pPr>
            <w:r>
              <w:rPr>
                <w:bCs/>
                <w:color w:val="000000"/>
                <w:szCs w:val="21"/>
              </w:rPr>
              <w:t>1E-01</w:t>
            </w:r>
          </w:p>
        </w:tc>
        <w:tc>
          <w:tcPr>
            <w:tcW w:w="2390" w:type="dxa"/>
            <w:tcBorders>
              <w:top w:val="single" w:color="auto" w:sz="4" w:space="0"/>
              <w:left w:val="single" w:color="auto" w:sz="4" w:space="0"/>
              <w:bottom w:val="single" w:color="auto" w:sz="4" w:space="0"/>
              <w:right w:val="single" w:color="auto" w:sz="4" w:space="0"/>
            </w:tcBorders>
            <w:vAlign w:val="center"/>
          </w:tcPr>
          <w:p w14:paraId="492C2511">
            <w:pPr>
              <w:spacing w:line="360" w:lineRule="exact"/>
              <w:jc w:val="center"/>
              <w:rPr>
                <w:bCs/>
                <w:color w:val="000000"/>
                <w:szCs w:val="21"/>
              </w:rPr>
            </w:pPr>
            <w:r>
              <w:rPr>
                <w:bCs/>
                <w:color w:val="000000"/>
                <w:szCs w:val="21"/>
              </w:rPr>
              <w:t>1E+01</w:t>
            </w:r>
          </w:p>
        </w:tc>
        <w:tc>
          <w:tcPr>
            <w:tcW w:w="2094" w:type="dxa"/>
            <w:tcBorders>
              <w:top w:val="single" w:color="auto" w:sz="4" w:space="0"/>
              <w:left w:val="single" w:color="auto" w:sz="4" w:space="0"/>
              <w:bottom w:val="single" w:color="auto" w:sz="4" w:space="0"/>
              <w:right w:val="single" w:color="auto" w:sz="4" w:space="0"/>
            </w:tcBorders>
            <w:vAlign w:val="center"/>
          </w:tcPr>
          <w:p w14:paraId="3D96DD4F">
            <w:pPr>
              <w:spacing w:line="360" w:lineRule="exact"/>
              <w:jc w:val="center"/>
              <w:rPr>
                <w:bCs/>
                <w:color w:val="000000"/>
                <w:szCs w:val="21"/>
              </w:rPr>
            </w:pPr>
            <w:r>
              <w:rPr>
                <w:bCs/>
                <w:color w:val="000000"/>
                <w:szCs w:val="21"/>
              </w:rPr>
              <w:t>1E+06</w:t>
            </w:r>
          </w:p>
        </w:tc>
      </w:tr>
      <w:tr w14:paraId="06245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3D1811D5">
            <w:pPr>
              <w:jc w:val="center"/>
              <w:rPr>
                <w:color w:val="000000"/>
                <w:sz w:val="22"/>
                <w:szCs w:val="22"/>
              </w:rPr>
            </w:pPr>
            <w:r>
              <w:rPr>
                <w:color w:val="000000"/>
                <w:sz w:val="22"/>
                <w:szCs w:val="22"/>
                <w:vertAlign w:val="superscript"/>
              </w:rPr>
              <w:t>55</w:t>
            </w:r>
            <w:r>
              <w:rPr>
                <w:color w:val="000000"/>
                <w:sz w:val="22"/>
                <w:szCs w:val="22"/>
              </w:rPr>
              <w:t>Fe</w:t>
            </w:r>
          </w:p>
        </w:tc>
        <w:tc>
          <w:tcPr>
            <w:tcW w:w="2371" w:type="dxa"/>
            <w:tcBorders>
              <w:top w:val="single" w:color="auto" w:sz="4" w:space="0"/>
              <w:left w:val="single" w:color="auto" w:sz="4" w:space="0"/>
              <w:bottom w:val="single" w:color="auto" w:sz="4" w:space="0"/>
              <w:right w:val="single" w:color="auto" w:sz="4" w:space="0"/>
            </w:tcBorders>
            <w:vAlign w:val="center"/>
          </w:tcPr>
          <w:p w14:paraId="5F70DFB6">
            <w:pPr>
              <w:spacing w:line="360" w:lineRule="exact"/>
              <w:jc w:val="center"/>
              <w:rPr>
                <w:bCs/>
                <w:color w:val="000000"/>
                <w:szCs w:val="21"/>
              </w:rPr>
            </w:pPr>
            <w:r>
              <w:rPr>
                <w:bCs/>
                <w:color w:val="000000"/>
                <w:szCs w:val="21"/>
              </w:rPr>
              <w:t>1E+03</w:t>
            </w:r>
          </w:p>
        </w:tc>
        <w:tc>
          <w:tcPr>
            <w:tcW w:w="2390" w:type="dxa"/>
            <w:tcBorders>
              <w:top w:val="single" w:color="auto" w:sz="4" w:space="0"/>
              <w:left w:val="single" w:color="auto" w:sz="4" w:space="0"/>
              <w:bottom w:val="single" w:color="auto" w:sz="4" w:space="0"/>
              <w:right w:val="single" w:color="auto" w:sz="4" w:space="0"/>
            </w:tcBorders>
            <w:vAlign w:val="center"/>
          </w:tcPr>
          <w:p w14:paraId="08431FF6">
            <w:pPr>
              <w:spacing w:line="360" w:lineRule="exact"/>
              <w:jc w:val="center"/>
              <w:rPr>
                <w:bCs/>
                <w:color w:val="000000"/>
                <w:szCs w:val="21"/>
              </w:rPr>
            </w:pPr>
            <w:r>
              <w:rPr>
                <w:bCs/>
                <w:color w:val="000000"/>
                <w:szCs w:val="21"/>
              </w:rPr>
              <w:t>1E+04</w:t>
            </w:r>
          </w:p>
        </w:tc>
        <w:tc>
          <w:tcPr>
            <w:tcW w:w="2094" w:type="dxa"/>
            <w:tcBorders>
              <w:top w:val="single" w:color="auto" w:sz="4" w:space="0"/>
              <w:left w:val="single" w:color="auto" w:sz="4" w:space="0"/>
              <w:bottom w:val="single" w:color="auto" w:sz="4" w:space="0"/>
              <w:right w:val="single" w:color="auto" w:sz="4" w:space="0"/>
            </w:tcBorders>
            <w:vAlign w:val="center"/>
          </w:tcPr>
          <w:p w14:paraId="122DE7DA">
            <w:pPr>
              <w:spacing w:line="360" w:lineRule="exact"/>
              <w:jc w:val="center"/>
              <w:rPr>
                <w:bCs/>
                <w:color w:val="000000"/>
                <w:szCs w:val="21"/>
              </w:rPr>
            </w:pPr>
            <w:r>
              <w:rPr>
                <w:bCs/>
                <w:color w:val="000000"/>
                <w:szCs w:val="21"/>
              </w:rPr>
              <w:t>1E+06</w:t>
            </w:r>
          </w:p>
        </w:tc>
      </w:tr>
      <w:tr w14:paraId="3C48A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3ACECA46">
            <w:pPr>
              <w:jc w:val="center"/>
              <w:rPr>
                <w:color w:val="000000"/>
                <w:sz w:val="22"/>
                <w:szCs w:val="22"/>
              </w:rPr>
            </w:pPr>
            <w:r>
              <w:rPr>
                <w:color w:val="000000"/>
                <w:sz w:val="22"/>
                <w:szCs w:val="22"/>
                <w:vertAlign w:val="superscript"/>
              </w:rPr>
              <w:t>59</w:t>
            </w:r>
            <w:r>
              <w:rPr>
                <w:color w:val="000000"/>
                <w:sz w:val="22"/>
                <w:szCs w:val="22"/>
              </w:rPr>
              <w:t>Fe</w:t>
            </w:r>
          </w:p>
        </w:tc>
        <w:tc>
          <w:tcPr>
            <w:tcW w:w="2371" w:type="dxa"/>
            <w:tcBorders>
              <w:top w:val="single" w:color="auto" w:sz="4" w:space="0"/>
              <w:left w:val="single" w:color="auto" w:sz="4" w:space="0"/>
              <w:bottom w:val="single" w:color="auto" w:sz="4" w:space="0"/>
              <w:right w:val="single" w:color="auto" w:sz="4" w:space="0"/>
            </w:tcBorders>
            <w:vAlign w:val="center"/>
          </w:tcPr>
          <w:p w14:paraId="2A32C4F6">
            <w:pPr>
              <w:spacing w:line="360" w:lineRule="exact"/>
              <w:jc w:val="center"/>
              <w:rPr>
                <w:bCs/>
                <w:color w:val="000000"/>
                <w:szCs w:val="21"/>
              </w:rPr>
            </w:pPr>
            <w:r>
              <w:rPr>
                <w:bCs/>
                <w:color w:val="000000"/>
                <w:szCs w:val="21"/>
              </w:rPr>
              <w:t>1E+00</w:t>
            </w:r>
          </w:p>
        </w:tc>
        <w:tc>
          <w:tcPr>
            <w:tcW w:w="2390" w:type="dxa"/>
            <w:tcBorders>
              <w:top w:val="single" w:color="auto" w:sz="4" w:space="0"/>
              <w:left w:val="single" w:color="auto" w:sz="4" w:space="0"/>
              <w:bottom w:val="single" w:color="auto" w:sz="4" w:space="0"/>
              <w:right w:val="single" w:color="auto" w:sz="4" w:space="0"/>
            </w:tcBorders>
            <w:vAlign w:val="center"/>
          </w:tcPr>
          <w:p w14:paraId="78BAC98F">
            <w:pPr>
              <w:spacing w:line="360" w:lineRule="exact"/>
              <w:jc w:val="center"/>
              <w:rPr>
                <w:bCs/>
                <w:color w:val="000000"/>
                <w:szCs w:val="21"/>
              </w:rPr>
            </w:pPr>
            <w:r>
              <w:rPr>
                <w:bCs/>
                <w:color w:val="000000"/>
                <w:szCs w:val="21"/>
              </w:rPr>
              <w:t>1E+01</w:t>
            </w:r>
          </w:p>
        </w:tc>
        <w:tc>
          <w:tcPr>
            <w:tcW w:w="2094" w:type="dxa"/>
            <w:tcBorders>
              <w:top w:val="single" w:color="auto" w:sz="4" w:space="0"/>
              <w:left w:val="single" w:color="auto" w:sz="4" w:space="0"/>
              <w:bottom w:val="single" w:color="auto" w:sz="4" w:space="0"/>
              <w:right w:val="single" w:color="auto" w:sz="4" w:space="0"/>
            </w:tcBorders>
            <w:vAlign w:val="center"/>
          </w:tcPr>
          <w:p w14:paraId="30D37BFF">
            <w:pPr>
              <w:spacing w:line="360" w:lineRule="exact"/>
              <w:jc w:val="center"/>
              <w:rPr>
                <w:bCs/>
                <w:color w:val="000000"/>
                <w:szCs w:val="21"/>
              </w:rPr>
            </w:pPr>
            <w:r>
              <w:rPr>
                <w:bCs/>
                <w:color w:val="000000"/>
                <w:szCs w:val="21"/>
              </w:rPr>
              <w:t>1E+06</w:t>
            </w:r>
          </w:p>
        </w:tc>
      </w:tr>
      <w:tr w14:paraId="2942C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496E7077">
            <w:pPr>
              <w:jc w:val="center"/>
              <w:rPr>
                <w:color w:val="000000"/>
                <w:sz w:val="22"/>
                <w:szCs w:val="22"/>
              </w:rPr>
            </w:pPr>
            <w:r>
              <w:rPr>
                <w:color w:val="000000"/>
                <w:sz w:val="22"/>
                <w:szCs w:val="22"/>
                <w:vertAlign w:val="superscript"/>
              </w:rPr>
              <w:t>58</w:t>
            </w:r>
            <w:r>
              <w:rPr>
                <w:color w:val="000000"/>
                <w:sz w:val="22"/>
                <w:szCs w:val="22"/>
              </w:rPr>
              <w:t>Co</w:t>
            </w:r>
          </w:p>
        </w:tc>
        <w:tc>
          <w:tcPr>
            <w:tcW w:w="2371" w:type="dxa"/>
            <w:tcBorders>
              <w:top w:val="single" w:color="auto" w:sz="4" w:space="0"/>
              <w:left w:val="single" w:color="auto" w:sz="4" w:space="0"/>
              <w:bottom w:val="single" w:color="auto" w:sz="4" w:space="0"/>
              <w:right w:val="single" w:color="auto" w:sz="4" w:space="0"/>
            </w:tcBorders>
            <w:vAlign w:val="center"/>
          </w:tcPr>
          <w:p w14:paraId="2CDD552E">
            <w:pPr>
              <w:spacing w:line="360" w:lineRule="exact"/>
              <w:jc w:val="center"/>
              <w:rPr>
                <w:bCs/>
                <w:color w:val="000000"/>
                <w:szCs w:val="21"/>
              </w:rPr>
            </w:pPr>
            <w:r>
              <w:rPr>
                <w:bCs/>
                <w:color w:val="000000"/>
                <w:szCs w:val="21"/>
              </w:rPr>
              <w:t>1E+00</w:t>
            </w:r>
          </w:p>
        </w:tc>
        <w:tc>
          <w:tcPr>
            <w:tcW w:w="2390" w:type="dxa"/>
            <w:tcBorders>
              <w:top w:val="single" w:color="auto" w:sz="4" w:space="0"/>
              <w:left w:val="single" w:color="auto" w:sz="4" w:space="0"/>
              <w:bottom w:val="single" w:color="auto" w:sz="4" w:space="0"/>
              <w:right w:val="single" w:color="auto" w:sz="4" w:space="0"/>
            </w:tcBorders>
            <w:vAlign w:val="center"/>
          </w:tcPr>
          <w:p w14:paraId="42199848">
            <w:pPr>
              <w:spacing w:line="360" w:lineRule="exact"/>
              <w:jc w:val="center"/>
              <w:rPr>
                <w:bCs/>
                <w:color w:val="000000"/>
                <w:szCs w:val="21"/>
              </w:rPr>
            </w:pPr>
            <w:r>
              <w:rPr>
                <w:bCs/>
                <w:color w:val="000000"/>
                <w:szCs w:val="21"/>
              </w:rPr>
              <w:t>1E+01</w:t>
            </w:r>
          </w:p>
        </w:tc>
        <w:tc>
          <w:tcPr>
            <w:tcW w:w="2094" w:type="dxa"/>
            <w:tcBorders>
              <w:top w:val="single" w:color="auto" w:sz="4" w:space="0"/>
              <w:left w:val="single" w:color="auto" w:sz="4" w:space="0"/>
              <w:bottom w:val="single" w:color="auto" w:sz="4" w:space="0"/>
              <w:right w:val="single" w:color="auto" w:sz="4" w:space="0"/>
            </w:tcBorders>
            <w:vAlign w:val="center"/>
          </w:tcPr>
          <w:p w14:paraId="6AF3E270">
            <w:pPr>
              <w:spacing w:line="360" w:lineRule="exact"/>
              <w:jc w:val="center"/>
              <w:rPr>
                <w:bCs/>
                <w:color w:val="000000"/>
                <w:szCs w:val="21"/>
              </w:rPr>
            </w:pPr>
            <w:r>
              <w:rPr>
                <w:bCs/>
                <w:color w:val="000000"/>
                <w:szCs w:val="21"/>
              </w:rPr>
              <w:t>1E+06</w:t>
            </w:r>
          </w:p>
        </w:tc>
      </w:tr>
      <w:tr w14:paraId="1C48B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02A01DB1">
            <w:pPr>
              <w:jc w:val="center"/>
              <w:rPr>
                <w:color w:val="000000"/>
                <w:sz w:val="22"/>
                <w:szCs w:val="22"/>
              </w:rPr>
            </w:pPr>
            <w:r>
              <w:rPr>
                <w:color w:val="000000"/>
                <w:sz w:val="22"/>
                <w:szCs w:val="22"/>
                <w:vertAlign w:val="superscript"/>
              </w:rPr>
              <w:t>60</w:t>
            </w:r>
            <w:r>
              <w:rPr>
                <w:color w:val="000000"/>
                <w:sz w:val="22"/>
                <w:szCs w:val="22"/>
              </w:rPr>
              <w:t>Co</w:t>
            </w:r>
          </w:p>
        </w:tc>
        <w:tc>
          <w:tcPr>
            <w:tcW w:w="2371" w:type="dxa"/>
            <w:tcBorders>
              <w:top w:val="single" w:color="auto" w:sz="4" w:space="0"/>
              <w:left w:val="single" w:color="auto" w:sz="4" w:space="0"/>
              <w:bottom w:val="single" w:color="auto" w:sz="4" w:space="0"/>
              <w:right w:val="single" w:color="auto" w:sz="4" w:space="0"/>
            </w:tcBorders>
            <w:vAlign w:val="center"/>
          </w:tcPr>
          <w:p w14:paraId="539FB105">
            <w:pPr>
              <w:spacing w:line="360" w:lineRule="exact"/>
              <w:jc w:val="center"/>
              <w:rPr>
                <w:bCs/>
                <w:color w:val="000000"/>
                <w:szCs w:val="21"/>
              </w:rPr>
            </w:pPr>
            <w:r>
              <w:rPr>
                <w:bCs/>
                <w:color w:val="000000"/>
                <w:szCs w:val="21"/>
              </w:rPr>
              <w:t>1E-01</w:t>
            </w:r>
          </w:p>
        </w:tc>
        <w:tc>
          <w:tcPr>
            <w:tcW w:w="2390" w:type="dxa"/>
            <w:tcBorders>
              <w:top w:val="single" w:color="auto" w:sz="4" w:space="0"/>
              <w:left w:val="single" w:color="auto" w:sz="4" w:space="0"/>
              <w:bottom w:val="single" w:color="auto" w:sz="4" w:space="0"/>
              <w:right w:val="single" w:color="auto" w:sz="4" w:space="0"/>
            </w:tcBorders>
            <w:vAlign w:val="center"/>
          </w:tcPr>
          <w:p w14:paraId="3056DC9E">
            <w:pPr>
              <w:spacing w:line="360" w:lineRule="exact"/>
              <w:jc w:val="center"/>
              <w:rPr>
                <w:bCs/>
                <w:color w:val="000000"/>
                <w:szCs w:val="21"/>
              </w:rPr>
            </w:pPr>
            <w:r>
              <w:rPr>
                <w:bCs/>
                <w:color w:val="000000"/>
                <w:szCs w:val="21"/>
              </w:rPr>
              <w:t>1E+01</w:t>
            </w:r>
          </w:p>
        </w:tc>
        <w:tc>
          <w:tcPr>
            <w:tcW w:w="2094" w:type="dxa"/>
            <w:tcBorders>
              <w:top w:val="single" w:color="auto" w:sz="4" w:space="0"/>
              <w:left w:val="single" w:color="auto" w:sz="4" w:space="0"/>
              <w:bottom w:val="single" w:color="auto" w:sz="4" w:space="0"/>
              <w:right w:val="single" w:color="auto" w:sz="4" w:space="0"/>
            </w:tcBorders>
            <w:vAlign w:val="center"/>
          </w:tcPr>
          <w:p w14:paraId="0F5A750A">
            <w:pPr>
              <w:spacing w:line="360" w:lineRule="exact"/>
              <w:jc w:val="center"/>
              <w:rPr>
                <w:bCs/>
                <w:color w:val="000000"/>
                <w:szCs w:val="21"/>
              </w:rPr>
            </w:pPr>
            <w:r>
              <w:rPr>
                <w:bCs/>
                <w:color w:val="000000"/>
                <w:szCs w:val="21"/>
              </w:rPr>
              <w:t>1E+05</w:t>
            </w:r>
          </w:p>
        </w:tc>
      </w:tr>
      <w:tr w14:paraId="2DEFB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2D09FE25">
            <w:pPr>
              <w:jc w:val="center"/>
              <w:rPr>
                <w:color w:val="000000"/>
                <w:sz w:val="22"/>
                <w:szCs w:val="22"/>
              </w:rPr>
            </w:pPr>
            <w:r>
              <w:rPr>
                <w:color w:val="000000"/>
                <w:sz w:val="22"/>
                <w:szCs w:val="22"/>
                <w:vertAlign w:val="superscript"/>
              </w:rPr>
              <w:t>59</w:t>
            </w:r>
            <w:r>
              <w:rPr>
                <w:color w:val="000000"/>
                <w:sz w:val="22"/>
                <w:szCs w:val="22"/>
              </w:rPr>
              <w:t>Ni</w:t>
            </w:r>
          </w:p>
        </w:tc>
        <w:tc>
          <w:tcPr>
            <w:tcW w:w="2371" w:type="dxa"/>
            <w:tcBorders>
              <w:top w:val="single" w:color="auto" w:sz="4" w:space="0"/>
              <w:left w:val="single" w:color="auto" w:sz="4" w:space="0"/>
              <w:bottom w:val="single" w:color="auto" w:sz="4" w:space="0"/>
              <w:right w:val="single" w:color="auto" w:sz="4" w:space="0"/>
            </w:tcBorders>
            <w:vAlign w:val="center"/>
          </w:tcPr>
          <w:p w14:paraId="7367A8A8">
            <w:pPr>
              <w:spacing w:line="360" w:lineRule="exact"/>
              <w:jc w:val="center"/>
              <w:rPr>
                <w:bCs/>
                <w:color w:val="000000"/>
                <w:szCs w:val="21"/>
              </w:rPr>
            </w:pPr>
            <w:r>
              <w:rPr>
                <w:bCs/>
                <w:color w:val="000000"/>
                <w:szCs w:val="21"/>
              </w:rPr>
              <w:t>1E+02</w:t>
            </w:r>
          </w:p>
        </w:tc>
        <w:tc>
          <w:tcPr>
            <w:tcW w:w="2390" w:type="dxa"/>
            <w:tcBorders>
              <w:top w:val="single" w:color="auto" w:sz="4" w:space="0"/>
              <w:left w:val="single" w:color="auto" w:sz="4" w:space="0"/>
              <w:bottom w:val="single" w:color="auto" w:sz="4" w:space="0"/>
              <w:right w:val="single" w:color="auto" w:sz="4" w:space="0"/>
            </w:tcBorders>
            <w:vAlign w:val="center"/>
          </w:tcPr>
          <w:p w14:paraId="6ABE1F5A">
            <w:pPr>
              <w:spacing w:line="360" w:lineRule="exact"/>
              <w:jc w:val="center"/>
              <w:rPr>
                <w:bCs/>
                <w:color w:val="000000"/>
                <w:szCs w:val="21"/>
              </w:rPr>
            </w:pPr>
            <w:r>
              <w:rPr>
                <w:bCs/>
                <w:color w:val="000000"/>
                <w:szCs w:val="21"/>
              </w:rPr>
              <w:t>1E+04</w:t>
            </w:r>
          </w:p>
        </w:tc>
        <w:tc>
          <w:tcPr>
            <w:tcW w:w="2094" w:type="dxa"/>
            <w:tcBorders>
              <w:top w:val="single" w:color="auto" w:sz="4" w:space="0"/>
              <w:left w:val="single" w:color="auto" w:sz="4" w:space="0"/>
              <w:bottom w:val="single" w:color="auto" w:sz="4" w:space="0"/>
              <w:right w:val="single" w:color="auto" w:sz="4" w:space="0"/>
            </w:tcBorders>
            <w:vAlign w:val="center"/>
          </w:tcPr>
          <w:p w14:paraId="1AC5B64F">
            <w:pPr>
              <w:spacing w:line="360" w:lineRule="exact"/>
              <w:jc w:val="center"/>
              <w:rPr>
                <w:bCs/>
                <w:color w:val="000000"/>
                <w:szCs w:val="21"/>
              </w:rPr>
            </w:pPr>
            <w:r>
              <w:rPr>
                <w:bCs/>
                <w:color w:val="000000"/>
                <w:szCs w:val="21"/>
              </w:rPr>
              <w:t>1E+08</w:t>
            </w:r>
          </w:p>
        </w:tc>
      </w:tr>
      <w:tr w14:paraId="652B9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39" w:type="dxa"/>
            <w:tcBorders>
              <w:top w:val="single" w:color="auto" w:sz="4" w:space="0"/>
              <w:left w:val="single" w:color="auto" w:sz="4" w:space="0"/>
              <w:bottom w:val="single" w:color="auto" w:sz="4" w:space="0"/>
              <w:right w:val="single" w:color="auto" w:sz="4" w:space="0"/>
            </w:tcBorders>
            <w:vAlign w:val="center"/>
          </w:tcPr>
          <w:p w14:paraId="612A1474">
            <w:pPr>
              <w:jc w:val="center"/>
              <w:rPr>
                <w:color w:val="000000"/>
                <w:sz w:val="22"/>
                <w:szCs w:val="22"/>
              </w:rPr>
            </w:pPr>
            <w:r>
              <w:rPr>
                <w:color w:val="000000"/>
                <w:sz w:val="22"/>
                <w:szCs w:val="22"/>
                <w:vertAlign w:val="superscript"/>
              </w:rPr>
              <w:t>63</w:t>
            </w:r>
            <w:r>
              <w:rPr>
                <w:color w:val="000000"/>
                <w:sz w:val="22"/>
                <w:szCs w:val="22"/>
              </w:rPr>
              <w:t>Ni</w:t>
            </w:r>
          </w:p>
        </w:tc>
        <w:tc>
          <w:tcPr>
            <w:tcW w:w="2371" w:type="dxa"/>
            <w:tcBorders>
              <w:top w:val="single" w:color="auto" w:sz="4" w:space="0"/>
              <w:left w:val="single" w:color="auto" w:sz="4" w:space="0"/>
              <w:bottom w:val="single" w:color="auto" w:sz="4" w:space="0"/>
              <w:right w:val="single" w:color="auto" w:sz="4" w:space="0"/>
            </w:tcBorders>
            <w:vAlign w:val="center"/>
          </w:tcPr>
          <w:p w14:paraId="265F9124">
            <w:pPr>
              <w:spacing w:line="360" w:lineRule="exact"/>
              <w:jc w:val="center"/>
              <w:rPr>
                <w:bCs/>
                <w:color w:val="000000"/>
                <w:szCs w:val="21"/>
              </w:rPr>
            </w:pPr>
            <w:r>
              <w:rPr>
                <w:bCs/>
                <w:color w:val="000000"/>
                <w:szCs w:val="21"/>
              </w:rPr>
              <w:t>1E+02</w:t>
            </w:r>
          </w:p>
        </w:tc>
        <w:tc>
          <w:tcPr>
            <w:tcW w:w="2390" w:type="dxa"/>
            <w:tcBorders>
              <w:top w:val="single" w:color="auto" w:sz="4" w:space="0"/>
              <w:left w:val="single" w:color="auto" w:sz="4" w:space="0"/>
              <w:bottom w:val="single" w:color="auto" w:sz="4" w:space="0"/>
              <w:right w:val="single" w:color="auto" w:sz="4" w:space="0"/>
            </w:tcBorders>
            <w:vAlign w:val="center"/>
          </w:tcPr>
          <w:p w14:paraId="3B4FD43E">
            <w:pPr>
              <w:spacing w:line="360" w:lineRule="exact"/>
              <w:jc w:val="center"/>
              <w:rPr>
                <w:bCs/>
                <w:color w:val="000000"/>
                <w:szCs w:val="21"/>
              </w:rPr>
            </w:pPr>
            <w:r>
              <w:rPr>
                <w:bCs/>
                <w:color w:val="000000"/>
                <w:szCs w:val="21"/>
              </w:rPr>
              <w:t>1E+05</w:t>
            </w:r>
          </w:p>
        </w:tc>
        <w:tc>
          <w:tcPr>
            <w:tcW w:w="2094" w:type="dxa"/>
            <w:tcBorders>
              <w:top w:val="single" w:color="auto" w:sz="4" w:space="0"/>
              <w:left w:val="single" w:color="auto" w:sz="4" w:space="0"/>
              <w:bottom w:val="single" w:color="auto" w:sz="4" w:space="0"/>
              <w:right w:val="single" w:color="auto" w:sz="4" w:space="0"/>
            </w:tcBorders>
            <w:vAlign w:val="center"/>
          </w:tcPr>
          <w:p w14:paraId="008E10EA">
            <w:pPr>
              <w:spacing w:line="360" w:lineRule="exact"/>
              <w:jc w:val="center"/>
              <w:rPr>
                <w:bCs/>
                <w:color w:val="000000"/>
                <w:szCs w:val="21"/>
              </w:rPr>
            </w:pPr>
            <w:r>
              <w:rPr>
                <w:bCs/>
                <w:color w:val="000000"/>
                <w:szCs w:val="21"/>
              </w:rPr>
              <w:t>1E+08</w:t>
            </w:r>
          </w:p>
        </w:tc>
      </w:tr>
      <w:tr w14:paraId="1FD12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4"/>
            <w:tcBorders>
              <w:top w:val="single" w:color="auto" w:sz="4" w:space="0"/>
              <w:left w:val="single" w:color="auto" w:sz="4" w:space="0"/>
              <w:bottom w:val="single" w:color="auto" w:sz="4" w:space="0"/>
              <w:right w:val="single" w:color="auto" w:sz="4" w:space="0"/>
            </w:tcBorders>
            <w:vAlign w:val="center"/>
          </w:tcPr>
          <w:p w14:paraId="538A6F1E">
            <w:pPr>
              <w:spacing w:line="360" w:lineRule="exact"/>
              <w:rPr>
                <w:bCs/>
                <w:color w:val="000000"/>
                <w:szCs w:val="21"/>
              </w:rPr>
            </w:pPr>
            <w:r>
              <w:rPr>
                <w:bCs/>
                <w:color w:val="000000"/>
                <w:szCs w:val="21"/>
              </w:rPr>
              <w:t>a 固体物质的解控水平以及批量固体物质的解控水平。</w:t>
            </w:r>
          </w:p>
          <w:p w14:paraId="00D5A96B">
            <w:pPr>
              <w:spacing w:line="360" w:lineRule="exact"/>
              <w:rPr>
                <w:bCs/>
                <w:color w:val="000000"/>
                <w:szCs w:val="21"/>
              </w:rPr>
            </w:pPr>
            <w:r>
              <w:rPr>
                <w:bCs/>
                <w:color w:val="000000"/>
                <w:szCs w:val="21"/>
              </w:rPr>
              <w:t>b 小批量固体物质的豁免水平（通常适用于小规模使用放射性物质的实践，所涉及的数量最多为吨量级）。</w:t>
            </w:r>
          </w:p>
        </w:tc>
      </w:tr>
    </w:tbl>
    <w:p w14:paraId="35DF1AA9">
      <w:pPr>
        <w:pStyle w:val="8"/>
        <w:rPr>
          <w:lang w:eastAsia="zh-CN"/>
        </w:rPr>
      </w:pPr>
      <w:r>
        <w:rPr>
          <w:lang w:eastAsia="zh-CN"/>
        </w:rPr>
        <w:t>另外，根据GB 18871-2002，如果存在一种以上的放射性核素，仅当各种放射性核素的活度或活度浓度与其相应的豁免活度或豁免活度浓度之比的和小于1时，才可能考虑给予豁免。</w:t>
      </w:r>
    </w:p>
    <w:p w14:paraId="51C646D4">
      <w:pPr>
        <w:pStyle w:val="4"/>
        <w:rPr>
          <w:rFonts w:eastAsia="宋体"/>
        </w:rPr>
      </w:pPr>
      <w:bookmarkStart w:id="277" w:name="_Toc209125194"/>
      <w:bookmarkStart w:id="278" w:name="_Toc59131903"/>
      <w:bookmarkStart w:id="279" w:name="_Toc74496566"/>
      <w:bookmarkStart w:id="280" w:name="_Toc94259111"/>
      <w:bookmarkStart w:id="281" w:name="_Toc87554411"/>
      <w:r>
        <w:rPr>
          <w:rFonts w:eastAsia="宋体"/>
        </w:rPr>
        <w:t>其他标准</w:t>
      </w:r>
      <w:bookmarkEnd w:id="277"/>
      <w:bookmarkEnd w:id="278"/>
      <w:bookmarkEnd w:id="279"/>
      <w:bookmarkEnd w:id="280"/>
      <w:bookmarkEnd w:id="281"/>
    </w:p>
    <w:p w14:paraId="3E981506">
      <w:pPr>
        <w:pStyle w:val="5"/>
      </w:pPr>
      <w:r>
        <w:t>机房面积、单边长度</w:t>
      </w:r>
    </w:p>
    <w:p w14:paraId="6B6B5122">
      <w:pPr>
        <w:pStyle w:val="8"/>
      </w:pPr>
      <w:r>
        <w:t>CT机房的面积、单边长度执行标准列于</w:t>
      </w:r>
      <w:r>
        <w:fldChar w:fldCharType="begin"/>
      </w:r>
      <w:r>
        <w:instrText xml:space="preserve"> REF _Ref40532856 \h  \* MERGEFORMAT </w:instrText>
      </w:r>
      <w:r>
        <w:fldChar w:fldCharType="separate"/>
      </w:r>
      <w:r>
        <w:t>表 1</w:t>
      </w:r>
      <w:r>
        <w:noBreakHyphen/>
      </w:r>
      <w:r>
        <w:t>7</w:t>
      </w:r>
      <w:r>
        <w:fldChar w:fldCharType="end"/>
      </w:r>
      <w:r>
        <w:t>。</w:t>
      </w:r>
    </w:p>
    <w:p w14:paraId="0F1469E9">
      <w:pPr>
        <w:pStyle w:val="15"/>
        <w:keepNext/>
        <w:rPr>
          <w:color w:val="000000"/>
        </w:rPr>
      </w:pPr>
      <w:bookmarkStart w:id="282" w:name="_Ref40532856"/>
      <w:bookmarkStart w:id="283" w:name="_Toc59132046"/>
      <w:bookmarkStart w:id="284" w:name="_Toc94259318"/>
      <w:bookmarkStart w:id="285" w:name="_Toc74750881"/>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1</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7</w:t>
      </w:r>
      <w:r>
        <w:rPr>
          <w:color w:val="000000"/>
        </w:rPr>
        <w:fldChar w:fldCharType="end"/>
      </w:r>
      <w:bookmarkEnd w:id="282"/>
      <w:r>
        <w:rPr>
          <w:color w:val="000000"/>
        </w:rPr>
        <w:t xml:space="preserve"> 机房面积、单边长度执行标准</w:t>
      </w:r>
      <w:bookmarkEnd w:id="283"/>
      <w:bookmarkEnd w:id="284"/>
      <w:bookmarkEnd w:id="285"/>
    </w:p>
    <w:tbl>
      <w:tblPr>
        <w:tblStyle w:val="45"/>
        <w:tblW w:w="735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628"/>
        <w:gridCol w:w="1466"/>
        <w:gridCol w:w="4260"/>
      </w:tblGrid>
      <w:tr w14:paraId="7353AA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1628" w:type="dxa"/>
            <w:vAlign w:val="center"/>
          </w:tcPr>
          <w:p w14:paraId="1D2FBA22">
            <w:pPr>
              <w:jc w:val="center"/>
              <w:rPr>
                <w:color w:val="000000"/>
              </w:rPr>
            </w:pPr>
            <w:r>
              <w:rPr>
                <w:color w:val="000000"/>
              </w:rPr>
              <w:t>机房面积</w:t>
            </w:r>
          </w:p>
        </w:tc>
        <w:tc>
          <w:tcPr>
            <w:tcW w:w="1466" w:type="dxa"/>
            <w:vAlign w:val="center"/>
          </w:tcPr>
          <w:p w14:paraId="4B045D74">
            <w:pPr>
              <w:jc w:val="center"/>
              <w:rPr>
                <w:color w:val="000000"/>
              </w:rPr>
            </w:pPr>
            <w:r>
              <w:rPr>
                <w:color w:val="000000"/>
              </w:rPr>
              <w:t>单边长度</w:t>
            </w:r>
          </w:p>
        </w:tc>
        <w:tc>
          <w:tcPr>
            <w:tcW w:w="4260" w:type="dxa"/>
            <w:vAlign w:val="center"/>
          </w:tcPr>
          <w:p w14:paraId="01820057">
            <w:pPr>
              <w:jc w:val="center"/>
              <w:rPr>
                <w:color w:val="000000"/>
              </w:rPr>
            </w:pPr>
            <w:r>
              <w:rPr>
                <w:color w:val="000000"/>
              </w:rPr>
              <w:t>执行标准</w:t>
            </w:r>
          </w:p>
        </w:tc>
      </w:tr>
      <w:tr w14:paraId="17DDAE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8" w:hRule="atLeast"/>
          <w:jc w:val="center"/>
        </w:trPr>
        <w:tc>
          <w:tcPr>
            <w:tcW w:w="1628" w:type="dxa"/>
            <w:vAlign w:val="center"/>
          </w:tcPr>
          <w:p w14:paraId="6BCF1FBA">
            <w:pPr>
              <w:jc w:val="center"/>
              <w:rPr>
                <w:color w:val="000000"/>
              </w:rPr>
            </w:pPr>
            <w:r>
              <w:rPr>
                <w:color w:val="000000"/>
              </w:rPr>
              <w:t>不小于30m</w:t>
            </w:r>
            <w:r>
              <w:rPr>
                <w:color w:val="000000"/>
                <w:vertAlign w:val="superscript"/>
              </w:rPr>
              <w:t>2</w:t>
            </w:r>
          </w:p>
        </w:tc>
        <w:tc>
          <w:tcPr>
            <w:tcW w:w="1466" w:type="dxa"/>
            <w:vAlign w:val="center"/>
          </w:tcPr>
          <w:p w14:paraId="04010B8D">
            <w:pPr>
              <w:jc w:val="center"/>
              <w:rPr>
                <w:color w:val="000000"/>
              </w:rPr>
            </w:pPr>
            <w:r>
              <w:rPr>
                <w:color w:val="000000"/>
              </w:rPr>
              <w:t>4.5m</w:t>
            </w:r>
          </w:p>
        </w:tc>
        <w:tc>
          <w:tcPr>
            <w:tcW w:w="4260" w:type="dxa"/>
            <w:vAlign w:val="center"/>
          </w:tcPr>
          <w:p w14:paraId="21EA4ED5">
            <w:pPr>
              <w:jc w:val="center"/>
              <w:rPr>
                <w:color w:val="000000"/>
              </w:rPr>
            </w:pPr>
            <w:r>
              <w:rPr>
                <w:color w:val="000000"/>
              </w:rPr>
              <w:t>《放射诊断</w:t>
            </w:r>
            <w:r>
              <w:rPr>
                <w:rFonts w:hint="eastAsia"/>
                <w:color w:val="000000"/>
              </w:rPr>
              <w:t>放</w:t>
            </w:r>
            <w:r>
              <w:rPr>
                <w:color w:val="000000"/>
              </w:rPr>
              <w:t>射防护要求》</w:t>
            </w:r>
          </w:p>
          <w:p w14:paraId="3724BFC5">
            <w:pPr>
              <w:jc w:val="center"/>
              <w:rPr>
                <w:color w:val="000000"/>
              </w:rPr>
            </w:pPr>
            <w:r>
              <w:rPr>
                <w:color w:val="000000"/>
              </w:rPr>
              <w:t>（GBZ130-2020）</w:t>
            </w:r>
          </w:p>
        </w:tc>
      </w:tr>
    </w:tbl>
    <w:p w14:paraId="2286E02A">
      <w:pPr>
        <w:pStyle w:val="5"/>
      </w:pPr>
      <w:r>
        <w:t>CT机房的辐射屏蔽</w:t>
      </w:r>
    </w:p>
    <w:p w14:paraId="12C27A64">
      <w:pPr>
        <w:pStyle w:val="8"/>
        <w:rPr>
          <w:lang w:eastAsia="zh-CN"/>
        </w:rPr>
      </w:pPr>
      <w:r>
        <w:t>根据《放射诊断放射防护要求》（GBZ130-2020）中的相关要求，本项目CT机房的墙体屏蔽按“2.5mm铅当量”执行。</w:t>
      </w:r>
    </w:p>
    <w:p w14:paraId="49DE101D">
      <w:pPr>
        <w:pStyle w:val="5"/>
      </w:pPr>
      <w:r>
        <w:rPr>
          <w:lang w:eastAsia="zh-CN"/>
        </w:rPr>
        <w:t>NO</w:t>
      </w:r>
      <w:r>
        <w:rPr>
          <w:vertAlign w:val="subscript"/>
          <w:lang w:eastAsia="zh-CN"/>
        </w:rPr>
        <w:t>x</w:t>
      </w:r>
      <w:r>
        <w:rPr>
          <w:lang w:eastAsia="zh-CN"/>
        </w:rPr>
        <w:t>和O</w:t>
      </w:r>
      <w:r>
        <w:rPr>
          <w:vertAlign w:val="subscript"/>
          <w:lang w:eastAsia="zh-CN"/>
        </w:rPr>
        <w:t>3</w:t>
      </w:r>
      <w:r>
        <w:rPr>
          <w:lang w:eastAsia="zh-CN"/>
        </w:rPr>
        <w:t>排放标准</w:t>
      </w:r>
    </w:p>
    <w:p w14:paraId="671D14CE">
      <w:pPr>
        <w:pStyle w:val="8"/>
        <w:ind w:firstLine="720" w:firstLineChars="300"/>
      </w:pPr>
      <w:r>
        <w:t>本项目NO</w:t>
      </w:r>
      <w:r>
        <w:rPr>
          <w:vertAlign w:val="subscript"/>
        </w:rPr>
        <w:t>x</w:t>
      </w:r>
      <w:r>
        <w:t>排放限值参照执行《大气污染物综合排放标准》（GB16297-1996）表2中硝酸使用及其他有组织氮氧化物排放限值，室内O</w:t>
      </w:r>
      <w:r>
        <w:rPr>
          <w:vertAlign w:val="subscript"/>
        </w:rPr>
        <w:t>3</w:t>
      </w:r>
      <w:r>
        <w:t>和NO</w:t>
      </w:r>
      <w:r>
        <w:rPr>
          <w:vertAlign w:val="subscript"/>
        </w:rPr>
        <w:t>x</w:t>
      </w:r>
      <w:r>
        <w:t>浓度限值参照执行《工作场所有害因素职业接触限值化学有害因素》（GBZ2.1-2019）中工作场所空气中化学物质容许浓度限值，具体标准值见</w:t>
      </w:r>
      <w:r>
        <w:fldChar w:fldCharType="begin"/>
      </w:r>
      <w:r>
        <w:instrText xml:space="preserve"> REF _Ref74749712 \h  \* MERGEFORMAT </w:instrText>
      </w:r>
      <w:r>
        <w:fldChar w:fldCharType="separate"/>
      </w:r>
      <w:r>
        <w:t>表 1</w:t>
      </w:r>
      <w:r>
        <w:noBreakHyphen/>
      </w:r>
      <w:r>
        <w:t>8</w:t>
      </w:r>
      <w:r>
        <w:fldChar w:fldCharType="end"/>
      </w:r>
      <w:r>
        <w:t>。</w:t>
      </w:r>
    </w:p>
    <w:p w14:paraId="61B40EBB">
      <w:pPr>
        <w:pStyle w:val="15"/>
        <w:keepNext/>
        <w:rPr>
          <w:color w:val="000000"/>
        </w:rPr>
      </w:pPr>
      <w:bookmarkStart w:id="286" w:name="_Ref74749712"/>
      <w:bookmarkStart w:id="287" w:name="_Toc73702698"/>
      <w:bookmarkStart w:id="288" w:name="_Toc74750883"/>
      <w:bookmarkStart w:id="289" w:name="_Toc94259319"/>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1</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8</w:t>
      </w:r>
      <w:r>
        <w:rPr>
          <w:color w:val="000000"/>
        </w:rPr>
        <w:fldChar w:fldCharType="end"/>
      </w:r>
      <w:bookmarkEnd w:id="286"/>
      <w:r>
        <w:rPr>
          <w:color w:val="000000"/>
        </w:rPr>
        <w:t xml:space="preserve"> NO</w:t>
      </w:r>
      <w:r>
        <w:rPr>
          <w:color w:val="000000"/>
          <w:vertAlign w:val="subscript"/>
        </w:rPr>
        <w:t>x</w:t>
      </w:r>
      <w:r>
        <w:t xml:space="preserve"> 、O</w:t>
      </w:r>
      <w:r>
        <w:rPr>
          <w:vertAlign w:val="subscript"/>
        </w:rPr>
        <w:t>3</w:t>
      </w:r>
      <w:r>
        <w:rPr>
          <w:color w:val="000000"/>
        </w:rPr>
        <w:t>排放标准和室内浓度限值</w:t>
      </w:r>
      <w:bookmarkEnd w:id="287"/>
      <w:bookmarkEnd w:id="288"/>
      <w:bookmarkEnd w:id="289"/>
    </w:p>
    <w:tbl>
      <w:tblPr>
        <w:tblStyle w:val="45"/>
        <w:tblW w:w="920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46"/>
        <w:gridCol w:w="2693"/>
        <w:gridCol w:w="2552"/>
        <w:gridCol w:w="3118"/>
      </w:tblGrid>
      <w:tr w14:paraId="3079F2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jc w:val="center"/>
        </w:trPr>
        <w:tc>
          <w:tcPr>
            <w:tcW w:w="846" w:type="dxa"/>
            <w:vMerge w:val="restart"/>
            <w:vAlign w:val="center"/>
          </w:tcPr>
          <w:p w14:paraId="53A60B5A">
            <w:pPr>
              <w:jc w:val="center"/>
              <w:rPr>
                <w:color w:val="000000"/>
              </w:rPr>
            </w:pPr>
            <w:r>
              <w:rPr>
                <w:color w:val="000000"/>
              </w:rPr>
              <w:t>污染物</w:t>
            </w:r>
          </w:p>
        </w:tc>
        <w:tc>
          <w:tcPr>
            <w:tcW w:w="2693" w:type="dxa"/>
            <w:vAlign w:val="center"/>
          </w:tcPr>
          <w:p w14:paraId="240E595C">
            <w:pPr>
              <w:jc w:val="center"/>
              <w:rPr>
                <w:color w:val="000000"/>
              </w:rPr>
            </w:pPr>
            <w:r>
              <w:rPr>
                <w:color w:val="000000"/>
              </w:rPr>
              <w:t>排放标准</w:t>
            </w:r>
          </w:p>
        </w:tc>
        <w:tc>
          <w:tcPr>
            <w:tcW w:w="5670" w:type="dxa"/>
            <w:gridSpan w:val="2"/>
            <w:vAlign w:val="center"/>
          </w:tcPr>
          <w:p w14:paraId="5586D3D8">
            <w:pPr>
              <w:jc w:val="center"/>
              <w:rPr>
                <w:color w:val="000000"/>
              </w:rPr>
            </w:pPr>
            <w:r>
              <w:rPr>
                <w:color w:val="000000"/>
              </w:rPr>
              <w:t>室内浓度限值</w:t>
            </w:r>
          </w:p>
        </w:tc>
      </w:tr>
      <w:tr w14:paraId="6524CB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2" w:hRule="atLeast"/>
          <w:jc w:val="center"/>
        </w:trPr>
        <w:tc>
          <w:tcPr>
            <w:tcW w:w="846" w:type="dxa"/>
            <w:vMerge w:val="continue"/>
            <w:vAlign w:val="center"/>
          </w:tcPr>
          <w:p w14:paraId="5166E99E">
            <w:pPr>
              <w:jc w:val="center"/>
              <w:rPr>
                <w:color w:val="000000"/>
              </w:rPr>
            </w:pPr>
          </w:p>
        </w:tc>
        <w:tc>
          <w:tcPr>
            <w:tcW w:w="2693" w:type="dxa"/>
            <w:vAlign w:val="center"/>
          </w:tcPr>
          <w:p w14:paraId="741D2A5D">
            <w:pPr>
              <w:jc w:val="center"/>
              <w:rPr>
                <w:color w:val="000000"/>
              </w:rPr>
            </w:pPr>
            <w:r>
              <w:rPr>
                <w:color w:val="000000"/>
              </w:rPr>
              <w:t>最高允许排放浓度，mg/m</w:t>
            </w:r>
            <w:r>
              <w:rPr>
                <w:color w:val="000000"/>
                <w:vertAlign w:val="superscript"/>
              </w:rPr>
              <w:t>3</w:t>
            </w:r>
          </w:p>
        </w:tc>
        <w:tc>
          <w:tcPr>
            <w:tcW w:w="2552" w:type="dxa"/>
            <w:vAlign w:val="center"/>
          </w:tcPr>
          <w:p w14:paraId="1DEF1511">
            <w:pPr>
              <w:jc w:val="center"/>
              <w:rPr>
                <w:color w:val="000000"/>
              </w:rPr>
            </w:pPr>
            <w:r>
              <w:rPr>
                <w:color w:val="000000"/>
              </w:rPr>
              <w:t>最高容许浓度，mg/m</w:t>
            </w:r>
            <w:r>
              <w:rPr>
                <w:color w:val="000000"/>
                <w:vertAlign w:val="superscript"/>
              </w:rPr>
              <w:t>3</w:t>
            </w:r>
          </w:p>
        </w:tc>
        <w:tc>
          <w:tcPr>
            <w:tcW w:w="3118" w:type="dxa"/>
            <w:vAlign w:val="center"/>
          </w:tcPr>
          <w:p w14:paraId="7807FA93">
            <w:pPr>
              <w:jc w:val="center"/>
              <w:rPr>
                <w:color w:val="000000"/>
              </w:rPr>
            </w:pPr>
            <w:r>
              <w:rPr>
                <w:color w:val="000000"/>
              </w:rPr>
              <w:t>时间加权平均容许浓度，mg/m</w:t>
            </w:r>
            <w:r>
              <w:rPr>
                <w:color w:val="000000"/>
                <w:vertAlign w:val="superscript"/>
              </w:rPr>
              <w:t>3</w:t>
            </w:r>
          </w:p>
        </w:tc>
      </w:tr>
      <w:tr w14:paraId="6FEE5D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6" w:hRule="atLeast"/>
          <w:jc w:val="center"/>
        </w:trPr>
        <w:tc>
          <w:tcPr>
            <w:tcW w:w="846" w:type="dxa"/>
            <w:vAlign w:val="center"/>
          </w:tcPr>
          <w:p w14:paraId="4FA3592A">
            <w:pPr>
              <w:jc w:val="center"/>
              <w:rPr>
                <w:color w:val="000000"/>
              </w:rPr>
            </w:pPr>
            <w:r>
              <w:rPr>
                <w:color w:val="000000"/>
              </w:rPr>
              <w:t>NO</w:t>
            </w:r>
            <w:r>
              <w:rPr>
                <w:color w:val="000000"/>
                <w:vertAlign w:val="subscript"/>
              </w:rPr>
              <w:t>x</w:t>
            </w:r>
          </w:p>
        </w:tc>
        <w:tc>
          <w:tcPr>
            <w:tcW w:w="2693" w:type="dxa"/>
            <w:vAlign w:val="center"/>
          </w:tcPr>
          <w:p w14:paraId="48A07D05">
            <w:pPr>
              <w:jc w:val="center"/>
              <w:rPr>
                <w:color w:val="000000"/>
              </w:rPr>
            </w:pPr>
            <w:r>
              <w:rPr>
                <w:color w:val="000000"/>
              </w:rPr>
              <w:t>240</w:t>
            </w:r>
          </w:p>
        </w:tc>
        <w:tc>
          <w:tcPr>
            <w:tcW w:w="2552" w:type="dxa"/>
            <w:vAlign w:val="center"/>
          </w:tcPr>
          <w:p w14:paraId="4FE8FDB6">
            <w:pPr>
              <w:jc w:val="center"/>
              <w:rPr>
                <w:color w:val="000000"/>
              </w:rPr>
            </w:pPr>
            <w:r>
              <w:rPr>
                <w:color w:val="000000"/>
              </w:rPr>
              <w:t>——</w:t>
            </w:r>
          </w:p>
        </w:tc>
        <w:tc>
          <w:tcPr>
            <w:tcW w:w="3118" w:type="dxa"/>
            <w:vAlign w:val="center"/>
          </w:tcPr>
          <w:p w14:paraId="385A013D">
            <w:pPr>
              <w:jc w:val="center"/>
              <w:rPr>
                <w:color w:val="000000"/>
              </w:rPr>
            </w:pPr>
            <w:r>
              <w:rPr>
                <w:color w:val="000000"/>
              </w:rPr>
              <w:t>5</w:t>
            </w:r>
          </w:p>
        </w:tc>
      </w:tr>
      <w:tr w14:paraId="386D48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6" w:hRule="atLeast"/>
          <w:jc w:val="center"/>
        </w:trPr>
        <w:tc>
          <w:tcPr>
            <w:tcW w:w="846" w:type="dxa"/>
            <w:vAlign w:val="center"/>
          </w:tcPr>
          <w:p w14:paraId="2698DB80">
            <w:pPr>
              <w:jc w:val="center"/>
              <w:rPr>
                <w:color w:val="000000"/>
              </w:rPr>
            </w:pPr>
            <w:r>
              <w:rPr>
                <w:color w:val="000000"/>
              </w:rPr>
              <w:t>O</w:t>
            </w:r>
            <w:r>
              <w:rPr>
                <w:color w:val="000000"/>
                <w:vertAlign w:val="subscript"/>
              </w:rPr>
              <w:t>3</w:t>
            </w:r>
          </w:p>
        </w:tc>
        <w:tc>
          <w:tcPr>
            <w:tcW w:w="2693" w:type="dxa"/>
            <w:vAlign w:val="center"/>
          </w:tcPr>
          <w:p w14:paraId="51298BA6">
            <w:pPr>
              <w:jc w:val="center"/>
              <w:rPr>
                <w:color w:val="000000"/>
              </w:rPr>
            </w:pPr>
            <w:r>
              <w:rPr>
                <w:color w:val="000000"/>
              </w:rPr>
              <w:t>——</w:t>
            </w:r>
          </w:p>
        </w:tc>
        <w:tc>
          <w:tcPr>
            <w:tcW w:w="2552" w:type="dxa"/>
            <w:vAlign w:val="center"/>
          </w:tcPr>
          <w:p w14:paraId="41DF4A74">
            <w:pPr>
              <w:jc w:val="center"/>
              <w:rPr>
                <w:color w:val="000000"/>
              </w:rPr>
            </w:pPr>
            <w:r>
              <w:rPr>
                <w:color w:val="000000"/>
              </w:rPr>
              <w:t>0.3</w:t>
            </w:r>
          </w:p>
        </w:tc>
        <w:tc>
          <w:tcPr>
            <w:tcW w:w="3118" w:type="dxa"/>
            <w:vAlign w:val="center"/>
          </w:tcPr>
          <w:p w14:paraId="2E38143E">
            <w:pPr>
              <w:jc w:val="center"/>
              <w:rPr>
                <w:color w:val="000000"/>
              </w:rPr>
            </w:pPr>
            <w:r>
              <w:rPr>
                <w:color w:val="000000"/>
              </w:rPr>
              <w:t>——</w:t>
            </w:r>
          </w:p>
        </w:tc>
      </w:tr>
      <w:bookmarkEnd w:id="271"/>
      <w:bookmarkEnd w:id="272"/>
    </w:tbl>
    <w:p w14:paraId="10EC0802">
      <w:pPr>
        <w:pStyle w:val="3"/>
        <w:rPr>
          <w:rFonts w:ascii="Times New Roman" w:hAnsi="Times New Roman" w:eastAsia="宋体"/>
          <w:b/>
          <w:bCs w:val="0"/>
          <w:sz w:val="28"/>
          <w:szCs w:val="28"/>
        </w:rPr>
      </w:pPr>
      <w:bookmarkStart w:id="290" w:name="_Toc209125195"/>
      <w:bookmarkStart w:id="291" w:name="_Toc34738564"/>
      <w:bookmarkStart w:id="292" w:name="_Toc71554455"/>
      <w:r>
        <w:rPr>
          <w:rFonts w:ascii="Times New Roman" w:hAnsi="Times New Roman" w:eastAsia="宋体"/>
          <w:b/>
          <w:bCs w:val="0"/>
          <w:sz w:val="28"/>
          <w:szCs w:val="28"/>
        </w:rPr>
        <w:t>评价范围和保护目标</w:t>
      </w:r>
      <w:bookmarkEnd w:id="290"/>
      <w:bookmarkEnd w:id="291"/>
      <w:bookmarkEnd w:id="292"/>
    </w:p>
    <w:p w14:paraId="49FC0127">
      <w:pPr>
        <w:pStyle w:val="4"/>
        <w:rPr>
          <w:rFonts w:eastAsia="宋体"/>
          <w:b/>
          <w:bCs w:val="0"/>
        </w:rPr>
      </w:pPr>
      <w:bookmarkStart w:id="293" w:name="_Toc34738565"/>
      <w:bookmarkStart w:id="294" w:name="_Toc71554456"/>
      <w:bookmarkStart w:id="295" w:name="_Toc209125196"/>
      <w:r>
        <w:rPr>
          <w:rFonts w:eastAsia="宋体"/>
          <w:b/>
          <w:bCs w:val="0"/>
        </w:rPr>
        <w:t>评价范围</w:t>
      </w:r>
      <w:bookmarkEnd w:id="293"/>
      <w:bookmarkEnd w:id="294"/>
      <w:bookmarkEnd w:id="295"/>
    </w:p>
    <w:p w14:paraId="5F1489CD">
      <w:pPr>
        <w:pStyle w:val="8"/>
      </w:pPr>
      <w:r>
        <w:t>根据《辐射环境保护管理导则 核技术利用建设项目 环境影响评价文件的内容和格式》（HJ10.1-2016）“1.5节评价范围和保护目标”中的相关规定“放射源和射线装置应用项目的评价范围，通常取装置所在场所实体屏蔽边界外50m的范围（无实体边界项目视具体情况而定，应不低于100m的范围），对于Ⅰ类放射源或Ⅰ类射线装置的项目可根据环境影响的范围适当扩大”。本项目使用的质子治疗系统为Ⅰ类射线装置，其主要的辐射环境影响途径为瞬发辐射外照射以及运行期间排入环境活化空气对人员造成的照射。质子治疗系统辐射工作场所严格按照我国相关法规标准的要求进行辐射屏蔽设计，采用混凝土作为主屏蔽材料，确保工作场所屏蔽体外剂量率满足要求。在考虑距离衰减后，机房屏蔽边界外100m处的剂量率可降低近4个量级。且质子治疗系统活化空气排放量较低，根据环境影响评价结论，活化空气的排放对场所周围公众所致剂量均低于其剂量约束值。</w:t>
      </w:r>
    </w:p>
    <w:p w14:paraId="1B6FFF4C">
      <w:pPr>
        <w:pStyle w:val="8"/>
        <w:rPr>
          <w:lang w:eastAsia="zh-CN"/>
        </w:rPr>
      </w:pPr>
      <w:r>
        <w:t>综上所述，本项目质子治疗系统电离辐射环境影响评价范围取质子治疗系统辐射工作场所四周实体屏蔽体向外100m的范围，定位CT机的电离辐射影响评价范围取辐射工作场所四周实体屏蔽体向外50m的范围，本项目电离辐射环境影响评价范围如</w:t>
      </w:r>
      <w:r>
        <w:fldChar w:fldCharType="begin"/>
      </w:r>
      <w:r>
        <w:instrText xml:space="preserve"> REF _Ref40533953 \h  \* MERGEFORMAT </w:instrText>
      </w:r>
      <w:r>
        <w:fldChar w:fldCharType="separate"/>
      </w:r>
      <w:r>
        <w:t>表 1</w:t>
      </w:r>
      <w:r>
        <w:noBreakHyphen/>
      </w:r>
      <w:r>
        <w:t>9</w:t>
      </w:r>
      <w:r>
        <w:fldChar w:fldCharType="end"/>
      </w:r>
      <w:r>
        <w:rPr>
          <w:lang w:eastAsia="zh-CN"/>
        </w:rPr>
        <w:t>和</w:t>
      </w:r>
      <w:r>
        <w:fldChar w:fldCharType="begin"/>
      </w:r>
      <w:r>
        <w:rPr>
          <w:lang w:eastAsia="zh-CN"/>
        </w:rPr>
        <w:instrText xml:space="preserve"> REF _Ref187679910 \h </w:instrText>
      </w:r>
      <w:r>
        <w:instrText xml:space="preserve"> \* MERGEFORMAT </w:instrText>
      </w:r>
      <w:r>
        <w:fldChar w:fldCharType="separate"/>
      </w:r>
      <w:r>
        <w:t>图 1</w:t>
      </w:r>
      <w:r>
        <w:noBreakHyphen/>
      </w:r>
      <w:r>
        <w:t>4</w:t>
      </w:r>
      <w:r>
        <w:fldChar w:fldCharType="end"/>
      </w:r>
      <w:r>
        <w:t>所示</w:t>
      </w:r>
      <w:r>
        <w:rPr>
          <w:lang w:eastAsia="zh-CN"/>
        </w:rPr>
        <w:t>。</w:t>
      </w:r>
    </w:p>
    <w:p w14:paraId="32A1B823">
      <w:pPr>
        <w:pStyle w:val="15"/>
        <w:keepNext/>
        <w:rPr>
          <w:color w:val="000000"/>
        </w:rPr>
      </w:pPr>
      <w:bookmarkStart w:id="296" w:name="_Ref40533953"/>
      <w:bookmarkStart w:id="297" w:name="_Toc45987664"/>
      <w:bookmarkStart w:id="298" w:name="_Toc150973443"/>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1</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9</w:t>
      </w:r>
      <w:r>
        <w:rPr>
          <w:color w:val="000000"/>
        </w:rPr>
        <w:fldChar w:fldCharType="end"/>
      </w:r>
      <w:bookmarkEnd w:id="296"/>
      <w:r>
        <w:rPr>
          <w:color w:val="000000"/>
        </w:rPr>
        <w:t xml:space="preserve"> 本项目电离辐射环境影响评价范围</w:t>
      </w:r>
      <w:bookmarkEnd w:id="297"/>
      <w:bookmarkEnd w:id="298"/>
    </w:p>
    <w:tbl>
      <w:tblPr>
        <w:tblStyle w:val="45"/>
        <w:tblW w:w="867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539"/>
        <w:gridCol w:w="3298"/>
        <w:gridCol w:w="2839"/>
      </w:tblGrid>
      <w:tr w14:paraId="39A640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5" w:hRule="atLeast"/>
          <w:jc w:val="center"/>
        </w:trPr>
        <w:tc>
          <w:tcPr>
            <w:tcW w:w="2539" w:type="dxa"/>
            <w:vAlign w:val="center"/>
          </w:tcPr>
          <w:p w14:paraId="0121F308">
            <w:pPr>
              <w:jc w:val="center"/>
              <w:rPr>
                <w:color w:val="000000"/>
              </w:rPr>
            </w:pPr>
            <w:r>
              <w:rPr>
                <w:color w:val="000000"/>
              </w:rPr>
              <w:t>类型</w:t>
            </w:r>
          </w:p>
        </w:tc>
        <w:tc>
          <w:tcPr>
            <w:tcW w:w="3298" w:type="dxa"/>
            <w:vAlign w:val="center"/>
          </w:tcPr>
          <w:p w14:paraId="0E7524FE">
            <w:pPr>
              <w:jc w:val="center"/>
              <w:rPr>
                <w:color w:val="000000"/>
              </w:rPr>
            </w:pPr>
            <w:r>
              <w:rPr>
                <w:color w:val="000000"/>
              </w:rPr>
              <w:t>电离辐射环境影响评价范围</w:t>
            </w:r>
          </w:p>
        </w:tc>
        <w:tc>
          <w:tcPr>
            <w:tcW w:w="2839" w:type="dxa"/>
            <w:vAlign w:val="center"/>
          </w:tcPr>
          <w:p w14:paraId="3F18E8C2">
            <w:pPr>
              <w:jc w:val="center"/>
              <w:rPr>
                <w:color w:val="000000"/>
              </w:rPr>
            </w:pPr>
            <w:r>
              <w:rPr>
                <w:color w:val="000000"/>
              </w:rPr>
              <w:t>依据</w:t>
            </w:r>
          </w:p>
        </w:tc>
      </w:tr>
      <w:tr w14:paraId="2B5406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atLeast"/>
          <w:jc w:val="center"/>
        </w:trPr>
        <w:tc>
          <w:tcPr>
            <w:tcW w:w="2539" w:type="dxa"/>
            <w:vAlign w:val="center"/>
          </w:tcPr>
          <w:p w14:paraId="3A07D3FE">
            <w:pPr>
              <w:jc w:val="center"/>
              <w:rPr>
                <w:color w:val="000000"/>
              </w:rPr>
            </w:pPr>
            <w:r>
              <w:rPr>
                <w:color w:val="000000"/>
              </w:rPr>
              <w:t>质子治疗系统</w:t>
            </w:r>
          </w:p>
        </w:tc>
        <w:tc>
          <w:tcPr>
            <w:tcW w:w="3298" w:type="dxa"/>
            <w:vAlign w:val="center"/>
          </w:tcPr>
          <w:p w14:paraId="595C7E87">
            <w:pPr>
              <w:jc w:val="center"/>
              <w:rPr>
                <w:color w:val="000000"/>
              </w:rPr>
            </w:pPr>
            <w:r>
              <w:rPr>
                <w:color w:val="000000"/>
              </w:rPr>
              <w:t>机房四周实体屏蔽体</w:t>
            </w:r>
          </w:p>
          <w:p w14:paraId="4C6EF748">
            <w:pPr>
              <w:jc w:val="center"/>
              <w:rPr>
                <w:color w:val="000000"/>
              </w:rPr>
            </w:pPr>
            <w:r>
              <w:rPr>
                <w:color w:val="000000"/>
              </w:rPr>
              <w:t>向外100m的范围</w:t>
            </w:r>
          </w:p>
        </w:tc>
        <w:tc>
          <w:tcPr>
            <w:tcW w:w="2839" w:type="dxa"/>
            <w:vAlign w:val="center"/>
          </w:tcPr>
          <w:p w14:paraId="581150C2">
            <w:pPr>
              <w:jc w:val="center"/>
              <w:rPr>
                <w:color w:val="000000"/>
              </w:rPr>
            </w:pPr>
            <w:r>
              <w:rPr>
                <w:color w:val="000000"/>
              </w:rPr>
              <w:t>Ⅰ类射线装置</w:t>
            </w:r>
          </w:p>
        </w:tc>
      </w:tr>
      <w:tr w14:paraId="17CBC1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3" w:hRule="atLeast"/>
          <w:jc w:val="center"/>
        </w:trPr>
        <w:tc>
          <w:tcPr>
            <w:tcW w:w="2539" w:type="dxa"/>
            <w:vAlign w:val="center"/>
          </w:tcPr>
          <w:p w14:paraId="5198CEDD">
            <w:pPr>
              <w:jc w:val="center"/>
              <w:rPr>
                <w:color w:val="000000"/>
              </w:rPr>
            </w:pPr>
            <w:r>
              <w:rPr>
                <w:color w:val="000000"/>
              </w:rPr>
              <w:t>定位CT机房</w:t>
            </w:r>
          </w:p>
        </w:tc>
        <w:tc>
          <w:tcPr>
            <w:tcW w:w="3298" w:type="dxa"/>
            <w:vAlign w:val="center"/>
          </w:tcPr>
          <w:p w14:paraId="6E44C80D">
            <w:pPr>
              <w:jc w:val="center"/>
              <w:rPr>
                <w:color w:val="000000"/>
              </w:rPr>
            </w:pPr>
            <w:r>
              <w:rPr>
                <w:color w:val="000000"/>
              </w:rPr>
              <w:t>机房四周实体屏蔽体</w:t>
            </w:r>
          </w:p>
          <w:p w14:paraId="5FBB9DC5">
            <w:pPr>
              <w:jc w:val="center"/>
              <w:rPr>
                <w:color w:val="000000"/>
              </w:rPr>
            </w:pPr>
            <w:r>
              <w:rPr>
                <w:color w:val="000000"/>
              </w:rPr>
              <w:t>向外50m的范围</w:t>
            </w:r>
          </w:p>
        </w:tc>
        <w:tc>
          <w:tcPr>
            <w:tcW w:w="2839" w:type="dxa"/>
            <w:vAlign w:val="center"/>
          </w:tcPr>
          <w:p w14:paraId="3BA082EE">
            <w:pPr>
              <w:jc w:val="center"/>
              <w:rPr>
                <w:color w:val="000000"/>
              </w:rPr>
            </w:pPr>
            <w:r>
              <w:rPr>
                <w:color w:val="000000"/>
              </w:rPr>
              <w:t>Ⅲ类射线装置</w:t>
            </w:r>
          </w:p>
        </w:tc>
      </w:tr>
    </w:tbl>
    <w:p w14:paraId="67E3A100">
      <w:pPr>
        <w:pStyle w:val="4"/>
        <w:rPr>
          <w:rFonts w:eastAsia="宋体"/>
          <w:b/>
          <w:bCs w:val="0"/>
        </w:rPr>
      </w:pPr>
      <w:bookmarkStart w:id="299" w:name="_Toc209125197"/>
      <w:bookmarkStart w:id="300" w:name="_Toc71554457"/>
      <w:r>
        <w:rPr>
          <w:rFonts w:eastAsia="宋体"/>
          <w:b/>
          <w:bCs w:val="0"/>
        </w:rPr>
        <w:t>环境保护目标</w:t>
      </w:r>
      <w:bookmarkEnd w:id="299"/>
      <w:bookmarkEnd w:id="300"/>
    </w:p>
    <w:p w14:paraId="04F5CE18">
      <w:pPr>
        <w:pStyle w:val="8"/>
        <w:rPr>
          <w:lang w:eastAsia="zh-CN"/>
        </w:rPr>
      </w:pPr>
      <w:r>
        <w:t>本项目电离辐射评价范围内无自然保护区、风景名胜和文物古迹等需要特殊保护的环境敏感对象，无居民小区、学校等环境敏感点。评价范围内的保护目标为评价范围内的辐射工作人员和公众，公众主要包括医院其他医护人员、陪同家属、院内和周边道路的流动人员，具体情况列于</w:t>
      </w:r>
      <w:r>
        <w:fldChar w:fldCharType="begin"/>
      </w:r>
      <w:r>
        <w:instrText xml:space="preserve"> REF _Ref76038745 \h  \* MERGEFORMAT </w:instrText>
      </w:r>
      <w:r>
        <w:fldChar w:fldCharType="separate"/>
      </w:r>
      <w:r>
        <w:t>表 1</w:t>
      </w:r>
      <w:r>
        <w:noBreakHyphen/>
      </w:r>
      <w:r>
        <w:t>10</w:t>
      </w:r>
      <w:r>
        <w:fldChar w:fldCharType="end"/>
      </w:r>
      <w:r>
        <w:t>。</w:t>
      </w:r>
    </w:p>
    <w:p w14:paraId="1730F5EF">
      <w:pPr>
        <w:pStyle w:val="15"/>
        <w:keepNext/>
      </w:pPr>
      <w:bookmarkStart w:id="301" w:name="_Ref76038745"/>
      <w:bookmarkStart w:id="302" w:name="_Toc150973444"/>
      <w:r>
        <w:t xml:space="preserve">表 </w:t>
      </w:r>
      <w:r>
        <w:fldChar w:fldCharType="begin"/>
      </w:r>
      <w:r>
        <w:instrText xml:space="preserve"> STYLEREF 1 \s </w:instrText>
      </w:r>
      <w:r>
        <w:fldChar w:fldCharType="separate"/>
      </w:r>
      <w:r>
        <w:t>1</w:t>
      </w:r>
      <w:r>
        <w:fldChar w:fldCharType="end"/>
      </w:r>
      <w:r>
        <w:noBreakHyphen/>
      </w:r>
      <w:r>
        <w:fldChar w:fldCharType="begin"/>
      </w:r>
      <w:r>
        <w:instrText xml:space="preserve"> SEQ 表 \* ARABIC \s 1 </w:instrText>
      </w:r>
      <w:r>
        <w:fldChar w:fldCharType="separate"/>
      </w:r>
      <w:r>
        <w:t>10</w:t>
      </w:r>
      <w:r>
        <w:fldChar w:fldCharType="end"/>
      </w:r>
      <w:bookmarkEnd w:id="301"/>
      <w:r>
        <w:t xml:space="preserve"> 本项目辐射工作场所周围环境保护目标情况</w:t>
      </w:r>
      <w:bookmarkEnd w:id="302"/>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14"/>
        <w:gridCol w:w="410"/>
        <w:gridCol w:w="316"/>
        <w:gridCol w:w="708"/>
        <w:gridCol w:w="692"/>
        <w:gridCol w:w="1239"/>
        <w:gridCol w:w="2059"/>
        <w:gridCol w:w="1086"/>
        <w:gridCol w:w="892"/>
      </w:tblGrid>
      <w:tr w14:paraId="36B8A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0" w:type="auto"/>
            <w:tcBorders>
              <w:top w:val="single" w:color="auto" w:sz="4" w:space="0"/>
              <w:left w:val="single" w:color="auto" w:sz="4" w:space="0"/>
              <w:bottom w:val="single" w:color="auto" w:sz="4" w:space="0"/>
              <w:right w:val="single" w:color="auto" w:sz="4" w:space="0"/>
            </w:tcBorders>
            <w:vAlign w:val="center"/>
          </w:tcPr>
          <w:p w14:paraId="1DE18511">
            <w:pPr>
              <w:pStyle w:val="107"/>
              <w:spacing w:line="240" w:lineRule="auto"/>
              <w:rPr>
                <w:rFonts w:ascii="Times New Roman" w:hAnsi="Times New Roman"/>
                <w:b/>
                <w:bCs/>
              </w:rPr>
            </w:pPr>
            <w:r>
              <w:rPr>
                <w:rFonts w:ascii="Times New Roman" w:hAnsi="Times New Roman"/>
                <w:b/>
                <w:bCs/>
              </w:rPr>
              <w:t>辐射工作场所</w:t>
            </w:r>
          </w:p>
        </w:tc>
        <w:tc>
          <w:tcPr>
            <w:tcW w:w="0" w:type="auto"/>
            <w:tcBorders>
              <w:top w:val="single" w:color="auto" w:sz="4" w:space="0"/>
              <w:left w:val="single" w:color="auto" w:sz="4" w:space="0"/>
              <w:bottom w:val="single" w:color="auto" w:sz="4" w:space="0"/>
              <w:right w:val="single" w:color="auto" w:sz="4" w:space="0"/>
            </w:tcBorders>
            <w:vAlign w:val="center"/>
          </w:tcPr>
          <w:p w14:paraId="6FBA9BBD">
            <w:pPr>
              <w:pStyle w:val="107"/>
              <w:spacing w:line="240" w:lineRule="auto"/>
              <w:rPr>
                <w:rFonts w:ascii="Times New Roman" w:hAnsi="Times New Roman"/>
                <w:b/>
                <w:bCs/>
              </w:rPr>
            </w:pPr>
            <w:r>
              <w:rPr>
                <w:rFonts w:ascii="Times New Roman" w:hAnsi="Times New Roman"/>
                <w:b/>
                <w:bCs/>
              </w:rPr>
              <w:t>空间</w:t>
            </w:r>
          </w:p>
        </w:tc>
        <w:tc>
          <w:tcPr>
            <w:tcW w:w="0" w:type="auto"/>
            <w:tcBorders>
              <w:top w:val="single" w:color="auto" w:sz="4" w:space="0"/>
              <w:left w:val="single" w:color="auto" w:sz="4" w:space="0"/>
              <w:bottom w:val="single" w:color="auto" w:sz="4" w:space="0"/>
              <w:right w:val="single" w:color="auto" w:sz="4" w:space="0"/>
            </w:tcBorders>
            <w:vAlign w:val="center"/>
          </w:tcPr>
          <w:p w14:paraId="64F59533">
            <w:pPr>
              <w:pStyle w:val="107"/>
              <w:spacing w:line="240" w:lineRule="auto"/>
              <w:rPr>
                <w:rFonts w:ascii="Times New Roman" w:hAnsi="Times New Roman"/>
                <w:b/>
                <w:bCs/>
              </w:rPr>
            </w:pPr>
            <w:r>
              <w:rPr>
                <w:rFonts w:ascii="Times New Roman" w:hAnsi="Times New Roman"/>
                <w:b/>
                <w:bCs/>
              </w:rPr>
              <w:t>序号</w:t>
            </w:r>
          </w:p>
        </w:tc>
        <w:tc>
          <w:tcPr>
            <w:tcW w:w="708" w:type="dxa"/>
            <w:tcBorders>
              <w:top w:val="single" w:color="auto" w:sz="4" w:space="0"/>
              <w:left w:val="single" w:color="auto" w:sz="4" w:space="0"/>
              <w:bottom w:val="single" w:color="auto" w:sz="4" w:space="0"/>
              <w:right w:val="single" w:color="auto" w:sz="4" w:space="0"/>
            </w:tcBorders>
            <w:vAlign w:val="center"/>
          </w:tcPr>
          <w:p w14:paraId="3C69A2F7">
            <w:pPr>
              <w:pStyle w:val="107"/>
              <w:spacing w:line="240" w:lineRule="auto"/>
              <w:rPr>
                <w:rFonts w:ascii="Times New Roman" w:hAnsi="Times New Roman"/>
                <w:b/>
                <w:bCs/>
              </w:rPr>
            </w:pPr>
            <w:r>
              <w:rPr>
                <w:rFonts w:ascii="Times New Roman" w:hAnsi="Times New Roman"/>
                <w:b/>
                <w:bCs/>
              </w:rPr>
              <w:t>方位</w:t>
            </w:r>
          </w:p>
        </w:tc>
        <w:tc>
          <w:tcPr>
            <w:tcW w:w="692" w:type="dxa"/>
            <w:tcBorders>
              <w:top w:val="single" w:color="auto" w:sz="4" w:space="0"/>
              <w:left w:val="single" w:color="auto" w:sz="4" w:space="0"/>
              <w:bottom w:val="single" w:color="auto" w:sz="4" w:space="0"/>
              <w:right w:val="single" w:color="auto" w:sz="4" w:space="0"/>
            </w:tcBorders>
            <w:vAlign w:val="center"/>
          </w:tcPr>
          <w:p w14:paraId="3B9DA49D">
            <w:pPr>
              <w:pStyle w:val="107"/>
              <w:spacing w:line="240" w:lineRule="auto"/>
              <w:rPr>
                <w:rFonts w:ascii="Times New Roman" w:hAnsi="Times New Roman"/>
                <w:b/>
                <w:bCs/>
              </w:rPr>
            </w:pPr>
            <w:r>
              <w:rPr>
                <w:rFonts w:ascii="Times New Roman" w:hAnsi="Times New Roman"/>
                <w:b/>
                <w:bCs/>
              </w:rPr>
              <w:t>与屏蔽体边界距离/m</w:t>
            </w:r>
          </w:p>
        </w:tc>
        <w:tc>
          <w:tcPr>
            <w:tcW w:w="1239" w:type="dxa"/>
            <w:tcBorders>
              <w:top w:val="single" w:color="auto" w:sz="4" w:space="0"/>
              <w:left w:val="single" w:color="auto" w:sz="4" w:space="0"/>
              <w:bottom w:val="single" w:color="auto" w:sz="4" w:space="0"/>
              <w:right w:val="single" w:color="auto" w:sz="4" w:space="0"/>
            </w:tcBorders>
            <w:vAlign w:val="center"/>
          </w:tcPr>
          <w:p w14:paraId="6987D22B">
            <w:pPr>
              <w:pStyle w:val="107"/>
              <w:spacing w:line="240" w:lineRule="auto"/>
              <w:rPr>
                <w:rFonts w:ascii="Times New Roman" w:hAnsi="Times New Roman"/>
                <w:b/>
                <w:bCs/>
              </w:rPr>
            </w:pPr>
            <w:r>
              <w:rPr>
                <w:rFonts w:ascii="Times New Roman" w:hAnsi="Times New Roman"/>
                <w:b/>
                <w:bCs/>
              </w:rPr>
              <w:t>周围环境情况</w:t>
            </w:r>
          </w:p>
        </w:tc>
        <w:tc>
          <w:tcPr>
            <w:tcW w:w="2059" w:type="dxa"/>
            <w:tcBorders>
              <w:top w:val="single" w:color="auto" w:sz="4" w:space="0"/>
              <w:left w:val="single" w:color="auto" w:sz="4" w:space="0"/>
              <w:bottom w:val="single" w:color="auto" w:sz="4" w:space="0"/>
              <w:right w:val="single" w:color="auto" w:sz="4" w:space="0"/>
            </w:tcBorders>
            <w:vAlign w:val="center"/>
          </w:tcPr>
          <w:p w14:paraId="1A969E28">
            <w:pPr>
              <w:pStyle w:val="107"/>
              <w:spacing w:line="240" w:lineRule="auto"/>
              <w:rPr>
                <w:rFonts w:ascii="Times New Roman" w:hAnsi="Times New Roman"/>
                <w:b/>
                <w:bCs/>
              </w:rPr>
            </w:pPr>
            <w:r>
              <w:rPr>
                <w:rFonts w:ascii="Times New Roman" w:hAnsi="Times New Roman"/>
                <w:b/>
                <w:bCs/>
              </w:rPr>
              <w:t>环境保护目标</w:t>
            </w:r>
          </w:p>
        </w:tc>
        <w:tc>
          <w:tcPr>
            <w:tcW w:w="1086" w:type="dxa"/>
            <w:tcBorders>
              <w:top w:val="single" w:color="auto" w:sz="4" w:space="0"/>
              <w:left w:val="single" w:color="auto" w:sz="4" w:space="0"/>
              <w:bottom w:val="single" w:color="auto" w:sz="4" w:space="0"/>
              <w:right w:val="single" w:color="auto" w:sz="4" w:space="0"/>
            </w:tcBorders>
            <w:vAlign w:val="center"/>
          </w:tcPr>
          <w:p w14:paraId="1F3E128A">
            <w:pPr>
              <w:pStyle w:val="107"/>
              <w:spacing w:line="240" w:lineRule="auto"/>
              <w:rPr>
                <w:rFonts w:ascii="Times New Roman" w:hAnsi="Times New Roman"/>
                <w:b/>
                <w:bCs/>
              </w:rPr>
            </w:pPr>
            <w:r>
              <w:rPr>
                <w:rFonts w:ascii="Times New Roman" w:hAnsi="Times New Roman"/>
                <w:b/>
                <w:bCs/>
              </w:rPr>
              <w:t>人数/人</w:t>
            </w:r>
          </w:p>
        </w:tc>
        <w:tc>
          <w:tcPr>
            <w:tcW w:w="892" w:type="dxa"/>
            <w:tcBorders>
              <w:top w:val="single" w:color="auto" w:sz="4" w:space="0"/>
              <w:left w:val="single" w:color="auto" w:sz="4" w:space="0"/>
              <w:bottom w:val="single" w:color="auto" w:sz="4" w:space="0"/>
              <w:right w:val="single" w:color="auto" w:sz="4" w:space="0"/>
            </w:tcBorders>
            <w:vAlign w:val="center"/>
          </w:tcPr>
          <w:p w14:paraId="2B59FFD7">
            <w:pPr>
              <w:pStyle w:val="107"/>
              <w:spacing w:line="240" w:lineRule="auto"/>
              <w:rPr>
                <w:rFonts w:ascii="Times New Roman" w:hAnsi="Times New Roman"/>
                <w:b/>
                <w:bCs/>
              </w:rPr>
            </w:pPr>
            <w:r>
              <w:rPr>
                <w:rFonts w:ascii="Times New Roman" w:hAnsi="Times New Roman"/>
                <w:b/>
                <w:bCs/>
              </w:rPr>
              <w:t>保护要求</w:t>
            </w:r>
          </w:p>
        </w:tc>
      </w:tr>
      <w:tr w14:paraId="10F3F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restart"/>
            <w:tcBorders>
              <w:top w:val="single" w:color="auto" w:sz="4" w:space="0"/>
              <w:left w:val="single" w:color="auto" w:sz="4" w:space="0"/>
              <w:right w:val="single" w:color="auto" w:sz="4" w:space="0"/>
            </w:tcBorders>
            <w:vAlign w:val="center"/>
          </w:tcPr>
          <w:p w14:paraId="660864D6">
            <w:pPr>
              <w:pStyle w:val="107"/>
              <w:spacing w:line="240" w:lineRule="auto"/>
              <w:rPr>
                <w:rFonts w:ascii="Times New Roman" w:hAnsi="Times New Roman"/>
              </w:rPr>
            </w:pPr>
            <w:r>
              <w:rPr>
                <w:rFonts w:ascii="Times New Roman" w:hAnsi="Times New Roman"/>
              </w:rPr>
              <w:t>质子治疗系统</w:t>
            </w:r>
            <w:r>
              <w:rPr>
                <w:rFonts w:hint="eastAsia" w:ascii="Times New Roman" w:hAnsi="Times New Roman"/>
              </w:rPr>
              <w:t>机房</w:t>
            </w:r>
          </w:p>
        </w:tc>
        <w:tc>
          <w:tcPr>
            <w:tcW w:w="0" w:type="auto"/>
            <w:vMerge w:val="restart"/>
            <w:tcBorders>
              <w:top w:val="single" w:color="auto" w:sz="4" w:space="0"/>
              <w:left w:val="single" w:color="auto" w:sz="4" w:space="0"/>
              <w:right w:val="single" w:color="auto" w:sz="4" w:space="0"/>
            </w:tcBorders>
            <w:vAlign w:val="center"/>
          </w:tcPr>
          <w:p w14:paraId="6B114C64">
            <w:pPr>
              <w:pStyle w:val="107"/>
              <w:spacing w:line="240" w:lineRule="auto"/>
              <w:rPr>
                <w:rFonts w:ascii="Times New Roman" w:hAnsi="Times New Roman"/>
              </w:rPr>
            </w:pPr>
            <w:r>
              <w:rPr>
                <w:rFonts w:ascii="Times New Roman" w:hAnsi="Times New Roman"/>
              </w:rPr>
              <w:t>建筑外</w:t>
            </w:r>
          </w:p>
        </w:tc>
        <w:tc>
          <w:tcPr>
            <w:tcW w:w="0" w:type="auto"/>
            <w:tcBorders>
              <w:top w:val="single" w:color="auto" w:sz="4" w:space="0"/>
              <w:left w:val="single" w:color="auto" w:sz="4" w:space="0"/>
              <w:right w:val="single" w:color="auto" w:sz="4" w:space="0"/>
            </w:tcBorders>
            <w:vAlign w:val="center"/>
          </w:tcPr>
          <w:p w14:paraId="11AC92B0">
            <w:pPr>
              <w:pStyle w:val="107"/>
              <w:spacing w:line="240" w:lineRule="auto"/>
              <w:rPr>
                <w:rFonts w:ascii="Times New Roman" w:hAnsi="Times New Roman"/>
              </w:rPr>
            </w:pPr>
            <w:r>
              <w:rPr>
                <w:rFonts w:ascii="Times New Roman" w:hAnsi="Times New Roman"/>
              </w:rPr>
              <w:t>1</w:t>
            </w:r>
          </w:p>
        </w:tc>
        <w:tc>
          <w:tcPr>
            <w:tcW w:w="708" w:type="dxa"/>
            <w:tcBorders>
              <w:top w:val="single" w:color="auto" w:sz="4" w:space="0"/>
              <w:left w:val="single" w:color="auto" w:sz="4" w:space="0"/>
              <w:right w:val="single" w:color="auto" w:sz="4" w:space="0"/>
            </w:tcBorders>
            <w:vAlign w:val="center"/>
          </w:tcPr>
          <w:p w14:paraId="2484353E">
            <w:pPr>
              <w:pStyle w:val="107"/>
              <w:spacing w:line="240" w:lineRule="auto"/>
              <w:rPr>
                <w:rFonts w:ascii="Times New Roman" w:hAnsi="Times New Roman"/>
              </w:rPr>
            </w:pPr>
            <w:r>
              <w:rPr>
                <w:rFonts w:ascii="Times New Roman" w:hAnsi="Times New Roman"/>
              </w:rPr>
              <w:t>北侧</w:t>
            </w:r>
          </w:p>
        </w:tc>
        <w:tc>
          <w:tcPr>
            <w:tcW w:w="692" w:type="dxa"/>
            <w:tcBorders>
              <w:top w:val="single" w:color="auto" w:sz="4" w:space="0"/>
              <w:left w:val="single" w:color="auto" w:sz="4" w:space="0"/>
              <w:bottom w:val="single" w:color="auto" w:sz="4" w:space="0"/>
              <w:right w:val="single" w:color="auto" w:sz="4" w:space="0"/>
            </w:tcBorders>
            <w:vAlign w:val="center"/>
          </w:tcPr>
          <w:p w14:paraId="7EFB540D">
            <w:pPr>
              <w:pStyle w:val="107"/>
              <w:spacing w:line="240" w:lineRule="auto"/>
              <w:rPr>
                <w:rFonts w:ascii="Times New Roman" w:hAnsi="Times New Roman"/>
              </w:rPr>
            </w:pPr>
            <w:r>
              <w:rPr>
                <w:rFonts w:ascii="Times New Roman" w:hAnsi="Times New Roman"/>
              </w:rPr>
              <w:t>8</w:t>
            </w:r>
          </w:p>
        </w:tc>
        <w:tc>
          <w:tcPr>
            <w:tcW w:w="1239" w:type="dxa"/>
            <w:tcBorders>
              <w:top w:val="single" w:color="auto" w:sz="4" w:space="0"/>
              <w:left w:val="single" w:color="auto" w:sz="4" w:space="0"/>
              <w:bottom w:val="single" w:color="auto" w:sz="4" w:space="0"/>
              <w:right w:val="single" w:color="auto" w:sz="4" w:space="0"/>
            </w:tcBorders>
            <w:vAlign w:val="center"/>
          </w:tcPr>
          <w:p w14:paraId="12E63F3A">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26145F73">
            <w:pPr>
              <w:pStyle w:val="107"/>
              <w:spacing w:line="240" w:lineRule="auto"/>
              <w:rPr>
                <w:rFonts w:ascii="Times New Roman" w:hAnsi="Times New Roman"/>
              </w:rPr>
            </w:pPr>
            <w:r>
              <w:rPr>
                <w:rFonts w:ascii="Times New Roman" w:hAnsi="Times New Roman"/>
              </w:rPr>
              <w:t>住院部</w:t>
            </w:r>
          </w:p>
        </w:tc>
        <w:tc>
          <w:tcPr>
            <w:tcW w:w="1086" w:type="dxa"/>
            <w:tcBorders>
              <w:top w:val="single" w:color="auto" w:sz="4" w:space="0"/>
              <w:left w:val="single" w:color="auto" w:sz="4" w:space="0"/>
              <w:bottom w:val="single" w:color="auto" w:sz="4" w:space="0"/>
              <w:right w:val="single" w:color="auto" w:sz="4" w:space="0"/>
            </w:tcBorders>
            <w:vAlign w:val="center"/>
          </w:tcPr>
          <w:p w14:paraId="769E8E46">
            <w:pPr>
              <w:pStyle w:val="107"/>
              <w:spacing w:line="240" w:lineRule="auto"/>
              <w:rPr>
                <w:rFonts w:ascii="Times New Roman" w:hAnsi="Times New Roman"/>
              </w:rPr>
            </w:pPr>
            <w:r>
              <w:rPr>
                <w:rFonts w:ascii="Times New Roman" w:hAnsi="Times New Roman"/>
              </w:rPr>
              <w:t>流动人口</w:t>
            </w:r>
          </w:p>
        </w:tc>
        <w:tc>
          <w:tcPr>
            <w:tcW w:w="892" w:type="dxa"/>
            <w:tcBorders>
              <w:top w:val="single" w:color="auto" w:sz="4" w:space="0"/>
              <w:left w:val="single" w:color="auto" w:sz="4" w:space="0"/>
              <w:bottom w:val="single" w:color="auto" w:sz="4" w:space="0"/>
              <w:right w:val="single" w:color="auto" w:sz="4" w:space="0"/>
            </w:tcBorders>
            <w:vAlign w:val="center"/>
          </w:tcPr>
          <w:p w14:paraId="3BC508EB">
            <w:pPr>
              <w:pStyle w:val="107"/>
              <w:spacing w:line="240" w:lineRule="auto"/>
              <w:rPr>
                <w:rFonts w:ascii="Times New Roman" w:hAnsi="Times New Roman"/>
              </w:rPr>
            </w:pPr>
            <w:r>
              <w:rPr>
                <w:rFonts w:ascii="Times New Roman" w:hAnsi="Times New Roman"/>
              </w:rPr>
              <w:t>公众成员</w:t>
            </w:r>
          </w:p>
        </w:tc>
      </w:tr>
      <w:tr w14:paraId="27E22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79986AB3">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674260C4">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78873643">
            <w:pPr>
              <w:pStyle w:val="107"/>
              <w:spacing w:line="240" w:lineRule="auto"/>
              <w:rPr>
                <w:rFonts w:ascii="Times New Roman" w:hAnsi="Times New Roman"/>
              </w:rPr>
            </w:pPr>
            <w:r>
              <w:rPr>
                <w:rFonts w:ascii="Times New Roman" w:hAnsi="Times New Roman"/>
              </w:rPr>
              <w:t>2</w:t>
            </w:r>
          </w:p>
        </w:tc>
        <w:tc>
          <w:tcPr>
            <w:tcW w:w="708" w:type="dxa"/>
            <w:tcBorders>
              <w:top w:val="single" w:color="auto" w:sz="4" w:space="0"/>
              <w:left w:val="single" w:color="auto" w:sz="4" w:space="0"/>
              <w:right w:val="single" w:color="auto" w:sz="4" w:space="0"/>
            </w:tcBorders>
            <w:vAlign w:val="center"/>
          </w:tcPr>
          <w:p w14:paraId="76399A3A">
            <w:pPr>
              <w:pStyle w:val="107"/>
              <w:spacing w:line="240" w:lineRule="auto"/>
              <w:rPr>
                <w:rFonts w:ascii="Times New Roman" w:hAnsi="Times New Roman"/>
              </w:rPr>
            </w:pPr>
            <w:r>
              <w:rPr>
                <w:rFonts w:ascii="Times New Roman" w:hAnsi="Times New Roman"/>
              </w:rPr>
              <w:t>西侧</w:t>
            </w:r>
          </w:p>
        </w:tc>
        <w:tc>
          <w:tcPr>
            <w:tcW w:w="692" w:type="dxa"/>
            <w:tcBorders>
              <w:top w:val="single" w:color="auto" w:sz="4" w:space="0"/>
              <w:left w:val="single" w:color="auto" w:sz="4" w:space="0"/>
              <w:bottom w:val="single" w:color="auto" w:sz="4" w:space="0"/>
              <w:right w:val="single" w:color="auto" w:sz="4" w:space="0"/>
            </w:tcBorders>
            <w:vAlign w:val="center"/>
          </w:tcPr>
          <w:p w14:paraId="1ADEA6DF">
            <w:pPr>
              <w:pStyle w:val="107"/>
              <w:spacing w:line="240" w:lineRule="auto"/>
              <w:rPr>
                <w:rFonts w:ascii="Times New Roman" w:hAnsi="Times New Roman"/>
              </w:rPr>
            </w:pPr>
            <w:r>
              <w:rPr>
                <w:rFonts w:ascii="Times New Roman" w:hAnsi="Times New Roman"/>
              </w:rPr>
              <w:t>25</w:t>
            </w:r>
          </w:p>
        </w:tc>
        <w:tc>
          <w:tcPr>
            <w:tcW w:w="1239" w:type="dxa"/>
            <w:tcBorders>
              <w:top w:val="single" w:color="auto" w:sz="4" w:space="0"/>
              <w:left w:val="single" w:color="auto" w:sz="4" w:space="0"/>
              <w:bottom w:val="single" w:color="auto" w:sz="4" w:space="0"/>
              <w:right w:val="single" w:color="auto" w:sz="4" w:space="0"/>
            </w:tcBorders>
            <w:vAlign w:val="center"/>
          </w:tcPr>
          <w:p w14:paraId="299E2775">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335C8F98">
            <w:pPr>
              <w:pStyle w:val="107"/>
              <w:spacing w:line="240" w:lineRule="auto"/>
              <w:rPr>
                <w:rFonts w:ascii="Times New Roman" w:hAnsi="Times New Roman"/>
              </w:rPr>
            </w:pPr>
            <w:r>
              <w:rPr>
                <w:rFonts w:ascii="Times New Roman" w:hAnsi="Times New Roman"/>
              </w:rPr>
              <w:t>二期污水处理站</w:t>
            </w:r>
          </w:p>
        </w:tc>
        <w:tc>
          <w:tcPr>
            <w:tcW w:w="1086" w:type="dxa"/>
            <w:tcBorders>
              <w:top w:val="single" w:color="auto" w:sz="4" w:space="0"/>
              <w:left w:val="single" w:color="auto" w:sz="4" w:space="0"/>
              <w:bottom w:val="single" w:color="auto" w:sz="4" w:space="0"/>
              <w:right w:val="single" w:color="auto" w:sz="4" w:space="0"/>
            </w:tcBorders>
            <w:vAlign w:val="center"/>
          </w:tcPr>
          <w:p w14:paraId="00FD76C4">
            <w:pPr>
              <w:pStyle w:val="107"/>
              <w:spacing w:line="240" w:lineRule="auto"/>
              <w:rPr>
                <w:rFonts w:ascii="Times New Roman" w:hAnsi="Times New Roman"/>
              </w:rPr>
            </w:pPr>
            <w:r>
              <w:rPr>
                <w:rFonts w:ascii="Times New Roman" w:hAnsi="Times New Roman"/>
              </w:rPr>
              <w:t>10</w:t>
            </w:r>
          </w:p>
        </w:tc>
        <w:tc>
          <w:tcPr>
            <w:tcW w:w="892" w:type="dxa"/>
            <w:tcBorders>
              <w:top w:val="single" w:color="auto" w:sz="4" w:space="0"/>
              <w:left w:val="single" w:color="auto" w:sz="4" w:space="0"/>
              <w:bottom w:val="single" w:color="auto" w:sz="4" w:space="0"/>
              <w:right w:val="single" w:color="auto" w:sz="4" w:space="0"/>
            </w:tcBorders>
            <w:vAlign w:val="center"/>
          </w:tcPr>
          <w:p w14:paraId="16C1E7B1">
            <w:pPr>
              <w:pStyle w:val="107"/>
              <w:spacing w:line="240" w:lineRule="auto"/>
              <w:rPr>
                <w:rFonts w:ascii="Times New Roman" w:hAnsi="Times New Roman"/>
              </w:rPr>
            </w:pPr>
            <w:r>
              <w:rPr>
                <w:rFonts w:ascii="Times New Roman" w:hAnsi="Times New Roman"/>
              </w:rPr>
              <w:t>公众成员</w:t>
            </w:r>
          </w:p>
        </w:tc>
      </w:tr>
      <w:tr w14:paraId="5FDF8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299B641D">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495C82D1">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7D1358B0">
            <w:pPr>
              <w:pStyle w:val="107"/>
              <w:spacing w:line="240" w:lineRule="auto"/>
              <w:rPr>
                <w:rFonts w:ascii="Times New Roman" w:hAnsi="Times New Roman"/>
              </w:rPr>
            </w:pPr>
            <w:r>
              <w:rPr>
                <w:rFonts w:ascii="Times New Roman" w:hAnsi="Times New Roman"/>
              </w:rPr>
              <w:t>3</w:t>
            </w:r>
          </w:p>
        </w:tc>
        <w:tc>
          <w:tcPr>
            <w:tcW w:w="708" w:type="dxa"/>
            <w:tcBorders>
              <w:left w:val="single" w:color="auto" w:sz="4" w:space="0"/>
              <w:right w:val="single" w:color="auto" w:sz="4" w:space="0"/>
            </w:tcBorders>
            <w:vAlign w:val="center"/>
          </w:tcPr>
          <w:p w14:paraId="6A3E487A">
            <w:pPr>
              <w:pStyle w:val="107"/>
              <w:spacing w:line="240" w:lineRule="auto"/>
              <w:rPr>
                <w:rFonts w:ascii="Times New Roman" w:hAnsi="Times New Roman"/>
              </w:rPr>
            </w:pPr>
            <w:r>
              <w:rPr>
                <w:rFonts w:ascii="Times New Roman" w:hAnsi="Times New Roman"/>
              </w:rPr>
              <w:t>西侧</w:t>
            </w:r>
          </w:p>
        </w:tc>
        <w:tc>
          <w:tcPr>
            <w:tcW w:w="692" w:type="dxa"/>
            <w:tcBorders>
              <w:top w:val="single" w:color="auto" w:sz="4" w:space="0"/>
              <w:left w:val="single" w:color="auto" w:sz="4" w:space="0"/>
              <w:bottom w:val="single" w:color="auto" w:sz="4" w:space="0"/>
              <w:right w:val="single" w:color="auto" w:sz="4" w:space="0"/>
            </w:tcBorders>
            <w:vAlign w:val="center"/>
          </w:tcPr>
          <w:p w14:paraId="726F69ED">
            <w:pPr>
              <w:pStyle w:val="107"/>
              <w:spacing w:line="240" w:lineRule="auto"/>
              <w:rPr>
                <w:rFonts w:ascii="Times New Roman" w:hAnsi="Times New Roman"/>
              </w:rPr>
            </w:pPr>
            <w:r>
              <w:rPr>
                <w:rFonts w:ascii="Times New Roman" w:hAnsi="Times New Roman"/>
              </w:rPr>
              <w:t>70</w:t>
            </w:r>
          </w:p>
        </w:tc>
        <w:tc>
          <w:tcPr>
            <w:tcW w:w="1239" w:type="dxa"/>
            <w:tcBorders>
              <w:top w:val="single" w:color="auto" w:sz="4" w:space="0"/>
              <w:left w:val="single" w:color="auto" w:sz="4" w:space="0"/>
              <w:bottom w:val="single" w:color="auto" w:sz="4" w:space="0"/>
              <w:right w:val="single" w:color="auto" w:sz="4" w:space="0"/>
            </w:tcBorders>
            <w:vAlign w:val="center"/>
          </w:tcPr>
          <w:p w14:paraId="1F2C6DDC">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067F4C1E">
            <w:pPr>
              <w:pStyle w:val="107"/>
              <w:spacing w:line="240" w:lineRule="auto"/>
              <w:rPr>
                <w:rFonts w:ascii="Times New Roman" w:hAnsi="Times New Roman"/>
              </w:rPr>
            </w:pPr>
            <w:r>
              <w:rPr>
                <w:rFonts w:ascii="Times New Roman" w:hAnsi="Times New Roman"/>
              </w:rPr>
              <w:t>一期太平间</w:t>
            </w:r>
          </w:p>
        </w:tc>
        <w:tc>
          <w:tcPr>
            <w:tcW w:w="1086" w:type="dxa"/>
            <w:tcBorders>
              <w:top w:val="single" w:color="auto" w:sz="4" w:space="0"/>
              <w:left w:val="single" w:color="auto" w:sz="4" w:space="0"/>
              <w:bottom w:val="single" w:color="auto" w:sz="4" w:space="0"/>
              <w:right w:val="single" w:color="auto" w:sz="4" w:space="0"/>
            </w:tcBorders>
            <w:vAlign w:val="center"/>
          </w:tcPr>
          <w:p w14:paraId="5C97E168">
            <w:pPr>
              <w:pStyle w:val="107"/>
              <w:spacing w:line="240" w:lineRule="auto"/>
              <w:rPr>
                <w:rFonts w:ascii="Times New Roman" w:hAnsi="Times New Roman"/>
              </w:rPr>
            </w:pPr>
            <w:r>
              <w:rPr>
                <w:rFonts w:ascii="Times New Roman" w:hAnsi="Times New Roman"/>
              </w:rPr>
              <w:t>10</w:t>
            </w:r>
          </w:p>
        </w:tc>
        <w:tc>
          <w:tcPr>
            <w:tcW w:w="892" w:type="dxa"/>
            <w:tcBorders>
              <w:top w:val="single" w:color="auto" w:sz="4" w:space="0"/>
              <w:left w:val="single" w:color="auto" w:sz="4" w:space="0"/>
              <w:bottom w:val="single" w:color="auto" w:sz="4" w:space="0"/>
              <w:right w:val="single" w:color="auto" w:sz="4" w:space="0"/>
            </w:tcBorders>
            <w:vAlign w:val="center"/>
          </w:tcPr>
          <w:p w14:paraId="49AF29B3">
            <w:pPr>
              <w:pStyle w:val="107"/>
              <w:spacing w:line="240" w:lineRule="auto"/>
              <w:rPr>
                <w:rFonts w:ascii="Times New Roman" w:hAnsi="Times New Roman"/>
              </w:rPr>
            </w:pPr>
            <w:r>
              <w:rPr>
                <w:rFonts w:ascii="Times New Roman" w:hAnsi="Times New Roman"/>
              </w:rPr>
              <w:t>公众成员</w:t>
            </w:r>
          </w:p>
        </w:tc>
      </w:tr>
      <w:tr w14:paraId="3653F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1D36D6FB">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5BE21ACC">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0C2AE61E">
            <w:pPr>
              <w:pStyle w:val="107"/>
              <w:spacing w:line="240" w:lineRule="auto"/>
              <w:rPr>
                <w:rFonts w:ascii="Times New Roman" w:hAnsi="Times New Roman"/>
              </w:rPr>
            </w:pPr>
            <w:r>
              <w:rPr>
                <w:rFonts w:ascii="Times New Roman" w:hAnsi="Times New Roman"/>
              </w:rPr>
              <w:t>4</w:t>
            </w:r>
          </w:p>
        </w:tc>
        <w:tc>
          <w:tcPr>
            <w:tcW w:w="708" w:type="dxa"/>
            <w:tcBorders>
              <w:left w:val="single" w:color="auto" w:sz="4" w:space="0"/>
              <w:right w:val="single" w:color="auto" w:sz="4" w:space="0"/>
            </w:tcBorders>
            <w:vAlign w:val="center"/>
          </w:tcPr>
          <w:p w14:paraId="64CAD6DA">
            <w:pPr>
              <w:pStyle w:val="107"/>
              <w:spacing w:line="240" w:lineRule="auto"/>
              <w:rPr>
                <w:rFonts w:ascii="Times New Roman" w:hAnsi="Times New Roman"/>
              </w:rPr>
            </w:pPr>
            <w:r>
              <w:rPr>
                <w:rFonts w:ascii="Times New Roman" w:hAnsi="Times New Roman"/>
              </w:rPr>
              <w:t>西侧</w:t>
            </w:r>
          </w:p>
        </w:tc>
        <w:tc>
          <w:tcPr>
            <w:tcW w:w="692" w:type="dxa"/>
            <w:tcBorders>
              <w:top w:val="single" w:color="auto" w:sz="4" w:space="0"/>
              <w:left w:val="single" w:color="auto" w:sz="4" w:space="0"/>
              <w:bottom w:val="single" w:color="auto" w:sz="4" w:space="0"/>
              <w:right w:val="single" w:color="auto" w:sz="4" w:space="0"/>
            </w:tcBorders>
            <w:vAlign w:val="center"/>
          </w:tcPr>
          <w:p w14:paraId="54A14DC0">
            <w:pPr>
              <w:pStyle w:val="107"/>
              <w:spacing w:line="240" w:lineRule="auto"/>
              <w:rPr>
                <w:rFonts w:ascii="Times New Roman" w:hAnsi="Times New Roman"/>
              </w:rPr>
            </w:pPr>
            <w:r>
              <w:rPr>
                <w:rFonts w:ascii="Times New Roman" w:hAnsi="Times New Roman"/>
              </w:rPr>
              <w:t>80</w:t>
            </w:r>
          </w:p>
        </w:tc>
        <w:tc>
          <w:tcPr>
            <w:tcW w:w="1239" w:type="dxa"/>
            <w:tcBorders>
              <w:top w:val="single" w:color="auto" w:sz="4" w:space="0"/>
              <w:left w:val="single" w:color="auto" w:sz="4" w:space="0"/>
              <w:bottom w:val="single" w:color="auto" w:sz="4" w:space="0"/>
              <w:right w:val="single" w:color="auto" w:sz="4" w:space="0"/>
            </w:tcBorders>
            <w:vAlign w:val="center"/>
          </w:tcPr>
          <w:p w14:paraId="20FBFA4F">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7DBE5FC5">
            <w:pPr>
              <w:pStyle w:val="107"/>
              <w:spacing w:line="240" w:lineRule="auto"/>
              <w:rPr>
                <w:rFonts w:ascii="Times New Roman" w:hAnsi="Times New Roman"/>
              </w:rPr>
            </w:pPr>
            <w:r>
              <w:rPr>
                <w:rFonts w:ascii="Times New Roman" w:hAnsi="Times New Roman"/>
              </w:rPr>
              <w:t>一期污水处理站</w:t>
            </w:r>
          </w:p>
        </w:tc>
        <w:tc>
          <w:tcPr>
            <w:tcW w:w="1086" w:type="dxa"/>
            <w:tcBorders>
              <w:top w:val="single" w:color="auto" w:sz="4" w:space="0"/>
              <w:left w:val="single" w:color="auto" w:sz="4" w:space="0"/>
              <w:bottom w:val="single" w:color="auto" w:sz="4" w:space="0"/>
              <w:right w:val="single" w:color="auto" w:sz="4" w:space="0"/>
            </w:tcBorders>
            <w:vAlign w:val="center"/>
          </w:tcPr>
          <w:p w14:paraId="0B6CF5D1">
            <w:pPr>
              <w:pStyle w:val="107"/>
              <w:spacing w:line="240" w:lineRule="auto"/>
              <w:rPr>
                <w:rFonts w:ascii="Times New Roman" w:hAnsi="Times New Roman"/>
              </w:rPr>
            </w:pPr>
            <w:r>
              <w:rPr>
                <w:rFonts w:ascii="Times New Roman" w:hAnsi="Times New Roman"/>
              </w:rPr>
              <w:t>10</w:t>
            </w:r>
          </w:p>
        </w:tc>
        <w:tc>
          <w:tcPr>
            <w:tcW w:w="892" w:type="dxa"/>
            <w:tcBorders>
              <w:top w:val="single" w:color="auto" w:sz="4" w:space="0"/>
              <w:left w:val="single" w:color="auto" w:sz="4" w:space="0"/>
              <w:bottom w:val="single" w:color="auto" w:sz="4" w:space="0"/>
              <w:right w:val="single" w:color="auto" w:sz="4" w:space="0"/>
            </w:tcBorders>
            <w:vAlign w:val="center"/>
          </w:tcPr>
          <w:p w14:paraId="6E1F001B">
            <w:pPr>
              <w:pStyle w:val="107"/>
              <w:spacing w:line="240" w:lineRule="auto"/>
              <w:rPr>
                <w:rFonts w:ascii="Times New Roman" w:hAnsi="Times New Roman"/>
              </w:rPr>
            </w:pPr>
            <w:r>
              <w:rPr>
                <w:rFonts w:ascii="Times New Roman" w:hAnsi="Times New Roman"/>
              </w:rPr>
              <w:t>公众成员</w:t>
            </w:r>
          </w:p>
        </w:tc>
      </w:tr>
      <w:tr w14:paraId="43AB7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4EA8E014">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3FA94252">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5B622292">
            <w:pPr>
              <w:pStyle w:val="107"/>
              <w:spacing w:line="240" w:lineRule="auto"/>
              <w:rPr>
                <w:rFonts w:ascii="Times New Roman" w:hAnsi="Times New Roman"/>
              </w:rPr>
            </w:pPr>
            <w:r>
              <w:rPr>
                <w:rFonts w:ascii="Times New Roman" w:hAnsi="Times New Roman"/>
              </w:rPr>
              <w:t>5</w:t>
            </w:r>
          </w:p>
        </w:tc>
        <w:tc>
          <w:tcPr>
            <w:tcW w:w="708" w:type="dxa"/>
            <w:tcBorders>
              <w:left w:val="single" w:color="auto" w:sz="4" w:space="0"/>
              <w:bottom w:val="single" w:color="auto" w:sz="4" w:space="0"/>
              <w:right w:val="single" w:color="auto" w:sz="4" w:space="0"/>
            </w:tcBorders>
            <w:vAlign w:val="center"/>
          </w:tcPr>
          <w:p w14:paraId="5ED532A0">
            <w:pPr>
              <w:pStyle w:val="107"/>
              <w:spacing w:line="240" w:lineRule="auto"/>
              <w:rPr>
                <w:rFonts w:ascii="Times New Roman" w:hAnsi="Times New Roman"/>
              </w:rPr>
            </w:pPr>
            <w:r>
              <w:rPr>
                <w:rFonts w:ascii="Times New Roman" w:hAnsi="Times New Roman"/>
              </w:rPr>
              <w:t>西侧</w:t>
            </w:r>
          </w:p>
        </w:tc>
        <w:tc>
          <w:tcPr>
            <w:tcW w:w="692" w:type="dxa"/>
            <w:tcBorders>
              <w:top w:val="single" w:color="auto" w:sz="4" w:space="0"/>
              <w:left w:val="single" w:color="auto" w:sz="4" w:space="0"/>
              <w:bottom w:val="single" w:color="auto" w:sz="4" w:space="0"/>
              <w:right w:val="single" w:color="auto" w:sz="4" w:space="0"/>
            </w:tcBorders>
            <w:vAlign w:val="center"/>
          </w:tcPr>
          <w:p w14:paraId="3403FA12">
            <w:pPr>
              <w:pStyle w:val="107"/>
              <w:spacing w:line="240" w:lineRule="auto"/>
              <w:rPr>
                <w:rFonts w:ascii="Times New Roman" w:hAnsi="Times New Roman"/>
              </w:rPr>
            </w:pPr>
            <w:r>
              <w:rPr>
                <w:rFonts w:ascii="Times New Roman" w:hAnsi="Times New Roman"/>
              </w:rPr>
              <w:t>85</w:t>
            </w:r>
          </w:p>
        </w:tc>
        <w:tc>
          <w:tcPr>
            <w:tcW w:w="1239" w:type="dxa"/>
            <w:tcBorders>
              <w:top w:val="single" w:color="auto" w:sz="4" w:space="0"/>
              <w:left w:val="single" w:color="auto" w:sz="4" w:space="0"/>
              <w:bottom w:val="single" w:color="auto" w:sz="4" w:space="0"/>
              <w:right w:val="single" w:color="auto" w:sz="4" w:space="0"/>
            </w:tcBorders>
            <w:vAlign w:val="center"/>
          </w:tcPr>
          <w:p w14:paraId="0771CC7F">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33BEDEE2">
            <w:pPr>
              <w:pStyle w:val="107"/>
              <w:spacing w:line="240" w:lineRule="auto"/>
              <w:rPr>
                <w:rFonts w:ascii="Times New Roman" w:hAnsi="Times New Roman"/>
              </w:rPr>
            </w:pPr>
            <w:r>
              <w:rPr>
                <w:rFonts w:ascii="Times New Roman" w:hAnsi="Times New Roman"/>
              </w:rPr>
              <w:t>洗消中心辅助用房</w:t>
            </w:r>
          </w:p>
        </w:tc>
        <w:tc>
          <w:tcPr>
            <w:tcW w:w="1086" w:type="dxa"/>
            <w:tcBorders>
              <w:top w:val="single" w:color="auto" w:sz="4" w:space="0"/>
              <w:left w:val="single" w:color="auto" w:sz="4" w:space="0"/>
              <w:bottom w:val="single" w:color="auto" w:sz="4" w:space="0"/>
              <w:right w:val="single" w:color="auto" w:sz="4" w:space="0"/>
            </w:tcBorders>
            <w:vAlign w:val="center"/>
          </w:tcPr>
          <w:p w14:paraId="3C79472A">
            <w:pPr>
              <w:pStyle w:val="107"/>
              <w:spacing w:line="240" w:lineRule="auto"/>
              <w:rPr>
                <w:rFonts w:ascii="Times New Roman" w:hAnsi="Times New Roman"/>
              </w:rPr>
            </w:pPr>
            <w:r>
              <w:rPr>
                <w:rFonts w:ascii="Times New Roman" w:hAnsi="Times New Roman"/>
              </w:rPr>
              <w:t>15</w:t>
            </w:r>
          </w:p>
        </w:tc>
        <w:tc>
          <w:tcPr>
            <w:tcW w:w="892" w:type="dxa"/>
            <w:tcBorders>
              <w:top w:val="single" w:color="auto" w:sz="4" w:space="0"/>
              <w:left w:val="single" w:color="auto" w:sz="4" w:space="0"/>
              <w:bottom w:val="single" w:color="auto" w:sz="4" w:space="0"/>
              <w:right w:val="single" w:color="auto" w:sz="4" w:space="0"/>
            </w:tcBorders>
            <w:vAlign w:val="center"/>
          </w:tcPr>
          <w:p w14:paraId="13ABDF8A">
            <w:pPr>
              <w:pStyle w:val="107"/>
              <w:spacing w:line="240" w:lineRule="auto"/>
              <w:rPr>
                <w:rFonts w:ascii="Times New Roman" w:hAnsi="Times New Roman"/>
              </w:rPr>
            </w:pPr>
            <w:r>
              <w:rPr>
                <w:rFonts w:ascii="Times New Roman" w:hAnsi="Times New Roman"/>
              </w:rPr>
              <w:t>公众成员</w:t>
            </w:r>
          </w:p>
        </w:tc>
      </w:tr>
      <w:tr w14:paraId="1B838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24F41BAB">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43D63747">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0C137590">
            <w:pPr>
              <w:pStyle w:val="107"/>
              <w:spacing w:line="240" w:lineRule="auto"/>
              <w:rPr>
                <w:rFonts w:ascii="Times New Roman" w:hAnsi="Times New Roman"/>
              </w:rPr>
            </w:pPr>
            <w:r>
              <w:rPr>
                <w:rFonts w:ascii="Times New Roman" w:hAnsi="Times New Roman"/>
              </w:rPr>
              <w:t>6</w:t>
            </w:r>
          </w:p>
        </w:tc>
        <w:tc>
          <w:tcPr>
            <w:tcW w:w="708" w:type="dxa"/>
            <w:tcBorders>
              <w:left w:val="single" w:color="auto" w:sz="4" w:space="0"/>
              <w:bottom w:val="single" w:color="auto" w:sz="4" w:space="0"/>
              <w:right w:val="single" w:color="auto" w:sz="4" w:space="0"/>
            </w:tcBorders>
            <w:vAlign w:val="center"/>
          </w:tcPr>
          <w:p w14:paraId="6191D5D3">
            <w:pPr>
              <w:pStyle w:val="107"/>
              <w:spacing w:line="240" w:lineRule="auto"/>
              <w:rPr>
                <w:rFonts w:ascii="Times New Roman" w:hAnsi="Times New Roman"/>
              </w:rPr>
            </w:pPr>
            <w:r>
              <w:rPr>
                <w:rFonts w:ascii="Times New Roman" w:hAnsi="Times New Roman"/>
              </w:rPr>
              <w:t>西侧</w:t>
            </w:r>
          </w:p>
        </w:tc>
        <w:tc>
          <w:tcPr>
            <w:tcW w:w="692" w:type="dxa"/>
            <w:tcBorders>
              <w:top w:val="single" w:color="auto" w:sz="4" w:space="0"/>
              <w:left w:val="single" w:color="auto" w:sz="4" w:space="0"/>
              <w:bottom w:val="single" w:color="auto" w:sz="4" w:space="0"/>
              <w:right w:val="single" w:color="auto" w:sz="4" w:space="0"/>
            </w:tcBorders>
            <w:vAlign w:val="center"/>
          </w:tcPr>
          <w:p w14:paraId="32C4E88E">
            <w:pPr>
              <w:pStyle w:val="107"/>
              <w:spacing w:line="240" w:lineRule="auto"/>
              <w:rPr>
                <w:rFonts w:ascii="Times New Roman" w:hAnsi="Times New Roman"/>
              </w:rPr>
            </w:pPr>
            <w:r>
              <w:rPr>
                <w:rFonts w:ascii="Times New Roman" w:hAnsi="Times New Roman"/>
              </w:rPr>
              <w:t>97</w:t>
            </w:r>
          </w:p>
        </w:tc>
        <w:tc>
          <w:tcPr>
            <w:tcW w:w="1239" w:type="dxa"/>
            <w:tcBorders>
              <w:top w:val="single" w:color="auto" w:sz="4" w:space="0"/>
              <w:left w:val="single" w:color="auto" w:sz="4" w:space="0"/>
              <w:bottom w:val="single" w:color="auto" w:sz="4" w:space="0"/>
              <w:right w:val="single" w:color="auto" w:sz="4" w:space="0"/>
            </w:tcBorders>
            <w:vAlign w:val="center"/>
          </w:tcPr>
          <w:p w14:paraId="57407AD3">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5FB4E3D1">
            <w:pPr>
              <w:pStyle w:val="107"/>
              <w:spacing w:line="240" w:lineRule="auto"/>
              <w:rPr>
                <w:rFonts w:ascii="Times New Roman" w:hAnsi="Times New Roman"/>
              </w:rPr>
            </w:pPr>
            <w:r>
              <w:rPr>
                <w:rFonts w:ascii="Times New Roman" w:hAnsi="Times New Roman"/>
              </w:rPr>
              <w:t>洗消中心</w:t>
            </w:r>
          </w:p>
        </w:tc>
        <w:tc>
          <w:tcPr>
            <w:tcW w:w="1086" w:type="dxa"/>
            <w:tcBorders>
              <w:top w:val="single" w:color="auto" w:sz="4" w:space="0"/>
              <w:left w:val="single" w:color="auto" w:sz="4" w:space="0"/>
              <w:bottom w:val="single" w:color="auto" w:sz="4" w:space="0"/>
              <w:right w:val="single" w:color="auto" w:sz="4" w:space="0"/>
            </w:tcBorders>
            <w:vAlign w:val="center"/>
          </w:tcPr>
          <w:p w14:paraId="3994A9BC">
            <w:pPr>
              <w:pStyle w:val="107"/>
              <w:spacing w:line="240" w:lineRule="auto"/>
              <w:rPr>
                <w:rFonts w:ascii="Times New Roman" w:hAnsi="Times New Roman"/>
              </w:rPr>
            </w:pPr>
            <w:r>
              <w:rPr>
                <w:rFonts w:ascii="Times New Roman" w:hAnsi="Times New Roman"/>
              </w:rPr>
              <w:t>20</w:t>
            </w:r>
          </w:p>
        </w:tc>
        <w:tc>
          <w:tcPr>
            <w:tcW w:w="892" w:type="dxa"/>
            <w:tcBorders>
              <w:top w:val="single" w:color="auto" w:sz="4" w:space="0"/>
              <w:left w:val="single" w:color="auto" w:sz="4" w:space="0"/>
              <w:bottom w:val="single" w:color="auto" w:sz="4" w:space="0"/>
              <w:right w:val="single" w:color="auto" w:sz="4" w:space="0"/>
            </w:tcBorders>
            <w:vAlign w:val="center"/>
          </w:tcPr>
          <w:p w14:paraId="17405EDA">
            <w:pPr>
              <w:pStyle w:val="107"/>
              <w:spacing w:line="240" w:lineRule="auto"/>
              <w:rPr>
                <w:rFonts w:ascii="Times New Roman" w:hAnsi="Times New Roman"/>
              </w:rPr>
            </w:pPr>
            <w:r>
              <w:rPr>
                <w:rFonts w:ascii="Times New Roman" w:hAnsi="Times New Roman"/>
              </w:rPr>
              <w:t>公众成员</w:t>
            </w:r>
          </w:p>
        </w:tc>
      </w:tr>
      <w:tr w14:paraId="4075F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1F82AC4A">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73184A07">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05DCE2C3">
            <w:pPr>
              <w:pStyle w:val="107"/>
              <w:spacing w:line="240" w:lineRule="auto"/>
              <w:rPr>
                <w:rFonts w:ascii="Times New Roman" w:hAnsi="Times New Roman"/>
              </w:rPr>
            </w:pPr>
            <w:r>
              <w:rPr>
                <w:rFonts w:ascii="Times New Roman" w:hAnsi="Times New Roman"/>
              </w:rPr>
              <w:t>7</w:t>
            </w:r>
          </w:p>
        </w:tc>
        <w:tc>
          <w:tcPr>
            <w:tcW w:w="708" w:type="dxa"/>
            <w:tcBorders>
              <w:left w:val="single" w:color="auto" w:sz="4" w:space="0"/>
              <w:bottom w:val="single" w:color="auto" w:sz="4" w:space="0"/>
              <w:right w:val="single" w:color="auto" w:sz="4" w:space="0"/>
            </w:tcBorders>
            <w:vAlign w:val="center"/>
          </w:tcPr>
          <w:p w14:paraId="05F3FBD4">
            <w:pPr>
              <w:pStyle w:val="107"/>
              <w:spacing w:line="240" w:lineRule="auto"/>
              <w:rPr>
                <w:rFonts w:ascii="Times New Roman" w:hAnsi="Times New Roman"/>
              </w:rPr>
            </w:pPr>
            <w:r>
              <w:rPr>
                <w:rFonts w:ascii="Times New Roman" w:hAnsi="Times New Roman"/>
              </w:rPr>
              <w:t>西北侧</w:t>
            </w:r>
          </w:p>
        </w:tc>
        <w:tc>
          <w:tcPr>
            <w:tcW w:w="692" w:type="dxa"/>
            <w:tcBorders>
              <w:top w:val="single" w:color="auto" w:sz="4" w:space="0"/>
              <w:left w:val="single" w:color="auto" w:sz="4" w:space="0"/>
              <w:bottom w:val="single" w:color="auto" w:sz="4" w:space="0"/>
              <w:right w:val="single" w:color="auto" w:sz="4" w:space="0"/>
            </w:tcBorders>
            <w:vAlign w:val="center"/>
          </w:tcPr>
          <w:p w14:paraId="7C10B533">
            <w:pPr>
              <w:pStyle w:val="107"/>
              <w:spacing w:line="240" w:lineRule="auto"/>
              <w:rPr>
                <w:rFonts w:ascii="Times New Roman" w:hAnsi="Times New Roman"/>
              </w:rPr>
            </w:pPr>
            <w:r>
              <w:rPr>
                <w:rFonts w:ascii="Times New Roman" w:hAnsi="Times New Roman"/>
              </w:rPr>
              <w:t>95</w:t>
            </w:r>
          </w:p>
        </w:tc>
        <w:tc>
          <w:tcPr>
            <w:tcW w:w="1239" w:type="dxa"/>
            <w:tcBorders>
              <w:top w:val="single" w:color="auto" w:sz="4" w:space="0"/>
              <w:left w:val="single" w:color="auto" w:sz="4" w:space="0"/>
              <w:bottom w:val="single" w:color="auto" w:sz="4" w:space="0"/>
              <w:right w:val="single" w:color="auto" w:sz="4" w:space="0"/>
            </w:tcBorders>
            <w:vAlign w:val="center"/>
          </w:tcPr>
          <w:p w14:paraId="4BE7C6DF">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15C5260A">
            <w:pPr>
              <w:pStyle w:val="107"/>
              <w:spacing w:line="240" w:lineRule="auto"/>
              <w:rPr>
                <w:rFonts w:ascii="Times New Roman" w:hAnsi="Times New Roman"/>
              </w:rPr>
            </w:pPr>
            <w:r>
              <w:rPr>
                <w:rFonts w:ascii="Times New Roman" w:hAnsi="Times New Roman"/>
              </w:rPr>
              <w:t>一期感染楼</w:t>
            </w:r>
          </w:p>
        </w:tc>
        <w:tc>
          <w:tcPr>
            <w:tcW w:w="1086" w:type="dxa"/>
            <w:tcBorders>
              <w:top w:val="single" w:color="auto" w:sz="4" w:space="0"/>
              <w:left w:val="single" w:color="auto" w:sz="4" w:space="0"/>
              <w:bottom w:val="single" w:color="auto" w:sz="4" w:space="0"/>
              <w:right w:val="single" w:color="auto" w:sz="4" w:space="0"/>
            </w:tcBorders>
          </w:tcPr>
          <w:p w14:paraId="47511CFB">
            <w:pPr>
              <w:pStyle w:val="107"/>
              <w:spacing w:line="240" w:lineRule="auto"/>
              <w:rPr>
                <w:rFonts w:ascii="Times New Roman" w:hAnsi="Times New Roman"/>
              </w:rPr>
            </w:pPr>
            <w:r>
              <w:rPr>
                <w:rFonts w:ascii="Times New Roman" w:hAnsi="Times New Roman"/>
              </w:rPr>
              <w:t>流动人口</w:t>
            </w:r>
          </w:p>
        </w:tc>
        <w:tc>
          <w:tcPr>
            <w:tcW w:w="892" w:type="dxa"/>
            <w:tcBorders>
              <w:top w:val="single" w:color="auto" w:sz="4" w:space="0"/>
              <w:left w:val="single" w:color="auto" w:sz="4" w:space="0"/>
              <w:bottom w:val="single" w:color="auto" w:sz="4" w:space="0"/>
              <w:right w:val="single" w:color="auto" w:sz="4" w:space="0"/>
            </w:tcBorders>
            <w:vAlign w:val="center"/>
          </w:tcPr>
          <w:p w14:paraId="0DD1B0BD">
            <w:pPr>
              <w:pStyle w:val="107"/>
              <w:spacing w:line="240" w:lineRule="auto"/>
              <w:rPr>
                <w:rFonts w:ascii="Times New Roman" w:hAnsi="Times New Roman"/>
              </w:rPr>
            </w:pPr>
            <w:r>
              <w:rPr>
                <w:rFonts w:ascii="Times New Roman" w:hAnsi="Times New Roman"/>
              </w:rPr>
              <w:t>公众成员</w:t>
            </w:r>
          </w:p>
        </w:tc>
      </w:tr>
      <w:tr w14:paraId="57F28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0898AC94">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64216FD2">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71CBC51F">
            <w:pPr>
              <w:pStyle w:val="107"/>
              <w:spacing w:line="240" w:lineRule="auto"/>
              <w:rPr>
                <w:rFonts w:ascii="Times New Roman" w:hAnsi="Times New Roman"/>
              </w:rPr>
            </w:pPr>
            <w:r>
              <w:rPr>
                <w:rFonts w:ascii="Times New Roman" w:hAnsi="Times New Roman"/>
              </w:rPr>
              <w:t>8</w:t>
            </w:r>
          </w:p>
        </w:tc>
        <w:tc>
          <w:tcPr>
            <w:tcW w:w="708" w:type="dxa"/>
            <w:tcBorders>
              <w:left w:val="single" w:color="auto" w:sz="4" w:space="0"/>
              <w:bottom w:val="single" w:color="auto" w:sz="4" w:space="0"/>
              <w:right w:val="single" w:color="auto" w:sz="4" w:space="0"/>
            </w:tcBorders>
            <w:vAlign w:val="center"/>
          </w:tcPr>
          <w:p w14:paraId="31561D70">
            <w:pPr>
              <w:pStyle w:val="107"/>
              <w:spacing w:line="240" w:lineRule="auto"/>
              <w:rPr>
                <w:rFonts w:ascii="Times New Roman" w:hAnsi="Times New Roman"/>
              </w:rPr>
            </w:pPr>
            <w:r>
              <w:rPr>
                <w:rFonts w:ascii="Times New Roman" w:hAnsi="Times New Roman"/>
              </w:rPr>
              <w:t>西北侧</w:t>
            </w:r>
          </w:p>
        </w:tc>
        <w:tc>
          <w:tcPr>
            <w:tcW w:w="692" w:type="dxa"/>
            <w:tcBorders>
              <w:top w:val="single" w:color="auto" w:sz="4" w:space="0"/>
              <w:left w:val="single" w:color="auto" w:sz="4" w:space="0"/>
              <w:bottom w:val="single" w:color="auto" w:sz="4" w:space="0"/>
              <w:right w:val="single" w:color="auto" w:sz="4" w:space="0"/>
            </w:tcBorders>
            <w:vAlign w:val="center"/>
          </w:tcPr>
          <w:p w14:paraId="4FB4302C">
            <w:pPr>
              <w:pStyle w:val="107"/>
              <w:spacing w:line="240" w:lineRule="auto"/>
              <w:rPr>
                <w:rFonts w:ascii="Times New Roman" w:hAnsi="Times New Roman"/>
              </w:rPr>
            </w:pPr>
            <w:r>
              <w:rPr>
                <w:rFonts w:ascii="Times New Roman" w:hAnsi="Times New Roman"/>
              </w:rPr>
              <w:t>62</w:t>
            </w:r>
          </w:p>
        </w:tc>
        <w:tc>
          <w:tcPr>
            <w:tcW w:w="1239" w:type="dxa"/>
            <w:tcBorders>
              <w:top w:val="single" w:color="auto" w:sz="4" w:space="0"/>
              <w:left w:val="single" w:color="auto" w:sz="4" w:space="0"/>
              <w:bottom w:val="single" w:color="auto" w:sz="4" w:space="0"/>
              <w:right w:val="single" w:color="auto" w:sz="4" w:space="0"/>
            </w:tcBorders>
            <w:vAlign w:val="center"/>
          </w:tcPr>
          <w:p w14:paraId="40340A17">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2773F9CF">
            <w:pPr>
              <w:pStyle w:val="107"/>
              <w:spacing w:line="240" w:lineRule="auto"/>
              <w:rPr>
                <w:rFonts w:ascii="Times New Roman" w:hAnsi="Times New Roman"/>
              </w:rPr>
            </w:pPr>
            <w:r>
              <w:rPr>
                <w:rFonts w:ascii="Times New Roman" w:hAnsi="Times New Roman"/>
              </w:rPr>
              <w:t>一期综合楼</w:t>
            </w:r>
          </w:p>
        </w:tc>
        <w:tc>
          <w:tcPr>
            <w:tcW w:w="1086" w:type="dxa"/>
            <w:tcBorders>
              <w:top w:val="single" w:color="auto" w:sz="4" w:space="0"/>
              <w:left w:val="single" w:color="auto" w:sz="4" w:space="0"/>
              <w:bottom w:val="single" w:color="auto" w:sz="4" w:space="0"/>
              <w:right w:val="single" w:color="auto" w:sz="4" w:space="0"/>
            </w:tcBorders>
          </w:tcPr>
          <w:p w14:paraId="274351CB">
            <w:pPr>
              <w:pStyle w:val="107"/>
              <w:spacing w:line="240" w:lineRule="auto"/>
              <w:rPr>
                <w:rFonts w:ascii="Times New Roman" w:hAnsi="Times New Roman"/>
              </w:rPr>
            </w:pPr>
            <w:r>
              <w:rPr>
                <w:rFonts w:ascii="Times New Roman" w:hAnsi="Times New Roman"/>
              </w:rPr>
              <w:t>流动人口</w:t>
            </w:r>
          </w:p>
        </w:tc>
        <w:tc>
          <w:tcPr>
            <w:tcW w:w="892" w:type="dxa"/>
            <w:tcBorders>
              <w:top w:val="single" w:color="auto" w:sz="4" w:space="0"/>
              <w:left w:val="single" w:color="auto" w:sz="4" w:space="0"/>
              <w:bottom w:val="single" w:color="auto" w:sz="4" w:space="0"/>
              <w:right w:val="single" w:color="auto" w:sz="4" w:space="0"/>
            </w:tcBorders>
            <w:vAlign w:val="center"/>
          </w:tcPr>
          <w:p w14:paraId="5CA5992F">
            <w:pPr>
              <w:pStyle w:val="107"/>
              <w:spacing w:line="240" w:lineRule="auto"/>
              <w:rPr>
                <w:rFonts w:ascii="Times New Roman" w:hAnsi="Times New Roman"/>
              </w:rPr>
            </w:pPr>
            <w:r>
              <w:rPr>
                <w:rFonts w:ascii="Times New Roman" w:hAnsi="Times New Roman"/>
              </w:rPr>
              <w:t>公众成员</w:t>
            </w:r>
          </w:p>
        </w:tc>
      </w:tr>
      <w:tr w14:paraId="7FC39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0D7249B7">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7482B3CA">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55384311">
            <w:pPr>
              <w:pStyle w:val="107"/>
              <w:spacing w:line="240" w:lineRule="auto"/>
              <w:rPr>
                <w:rFonts w:ascii="Times New Roman" w:hAnsi="Times New Roman"/>
              </w:rPr>
            </w:pPr>
            <w:r>
              <w:rPr>
                <w:rFonts w:ascii="Times New Roman" w:hAnsi="Times New Roman"/>
              </w:rPr>
              <w:t>9</w:t>
            </w:r>
          </w:p>
        </w:tc>
        <w:tc>
          <w:tcPr>
            <w:tcW w:w="708" w:type="dxa"/>
            <w:tcBorders>
              <w:left w:val="single" w:color="auto" w:sz="4" w:space="0"/>
              <w:bottom w:val="single" w:color="auto" w:sz="4" w:space="0"/>
              <w:right w:val="single" w:color="auto" w:sz="4" w:space="0"/>
            </w:tcBorders>
            <w:vAlign w:val="center"/>
          </w:tcPr>
          <w:p w14:paraId="6A71D896">
            <w:pPr>
              <w:pStyle w:val="107"/>
              <w:spacing w:line="240" w:lineRule="auto"/>
              <w:rPr>
                <w:rFonts w:ascii="Times New Roman" w:hAnsi="Times New Roman"/>
              </w:rPr>
            </w:pPr>
            <w:r>
              <w:rPr>
                <w:rFonts w:ascii="Times New Roman" w:hAnsi="Times New Roman"/>
              </w:rPr>
              <w:t>北侧</w:t>
            </w:r>
          </w:p>
        </w:tc>
        <w:tc>
          <w:tcPr>
            <w:tcW w:w="692" w:type="dxa"/>
            <w:tcBorders>
              <w:top w:val="single" w:color="auto" w:sz="4" w:space="0"/>
              <w:left w:val="single" w:color="auto" w:sz="4" w:space="0"/>
              <w:bottom w:val="single" w:color="auto" w:sz="4" w:space="0"/>
              <w:right w:val="single" w:color="auto" w:sz="4" w:space="0"/>
            </w:tcBorders>
            <w:vAlign w:val="center"/>
          </w:tcPr>
          <w:p w14:paraId="2C8EE489">
            <w:pPr>
              <w:pStyle w:val="107"/>
              <w:spacing w:line="240" w:lineRule="auto"/>
              <w:rPr>
                <w:rFonts w:ascii="Times New Roman" w:hAnsi="Times New Roman"/>
              </w:rPr>
            </w:pPr>
            <w:r>
              <w:rPr>
                <w:rFonts w:ascii="Times New Roman" w:hAnsi="Times New Roman"/>
              </w:rPr>
              <w:t>70</w:t>
            </w:r>
          </w:p>
        </w:tc>
        <w:tc>
          <w:tcPr>
            <w:tcW w:w="1239" w:type="dxa"/>
            <w:tcBorders>
              <w:top w:val="single" w:color="auto" w:sz="4" w:space="0"/>
              <w:left w:val="single" w:color="auto" w:sz="4" w:space="0"/>
              <w:bottom w:val="single" w:color="auto" w:sz="4" w:space="0"/>
              <w:right w:val="single" w:color="auto" w:sz="4" w:space="0"/>
            </w:tcBorders>
            <w:vAlign w:val="center"/>
          </w:tcPr>
          <w:p w14:paraId="7E10574B">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53F1D2C1">
            <w:pPr>
              <w:pStyle w:val="107"/>
              <w:spacing w:line="240" w:lineRule="auto"/>
              <w:rPr>
                <w:rFonts w:ascii="Times New Roman" w:hAnsi="Times New Roman"/>
              </w:rPr>
            </w:pPr>
            <w:r>
              <w:rPr>
                <w:rFonts w:ascii="Times New Roman" w:hAnsi="Times New Roman"/>
              </w:rPr>
              <w:t>一期门诊大楼</w:t>
            </w:r>
          </w:p>
        </w:tc>
        <w:tc>
          <w:tcPr>
            <w:tcW w:w="1086" w:type="dxa"/>
            <w:tcBorders>
              <w:top w:val="single" w:color="auto" w:sz="4" w:space="0"/>
              <w:left w:val="single" w:color="auto" w:sz="4" w:space="0"/>
              <w:bottom w:val="single" w:color="auto" w:sz="4" w:space="0"/>
              <w:right w:val="single" w:color="auto" w:sz="4" w:space="0"/>
            </w:tcBorders>
          </w:tcPr>
          <w:p w14:paraId="7F2F1AE3">
            <w:pPr>
              <w:pStyle w:val="107"/>
              <w:spacing w:line="240" w:lineRule="auto"/>
              <w:rPr>
                <w:rFonts w:ascii="Times New Roman" w:hAnsi="Times New Roman"/>
              </w:rPr>
            </w:pPr>
            <w:r>
              <w:rPr>
                <w:rFonts w:ascii="Times New Roman" w:hAnsi="Times New Roman"/>
              </w:rPr>
              <w:t>流动人口</w:t>
            </w:r>
          </w:p>
        </w:tc>
        <w:tc>
          <w:tcPr>
            <w:tcW w:w="892" w:type="dxa"/>
            <w:tcBorders>
              <w:top w:val="single" w:color="auto" w:sz="4" w:space="0"/>
              <w:left w:val="single" w:color="auto" w:sz="4" w:space="0"/>
              <w:bottom w:val="single" w:color="auto" w:sz="4" w:space="0"/>
              <w:right w:val="single" w:color="auto" w:sz="4" w:space="0"/>
            </w:tcBorders>
            <w:vAlign w:val="center"/>
          </w:tcPr>
          <w:p w14:paraId="4D27826E">
            <w:pPr>
              <w:pStyle w:val="107"/>
              <w:spacing w:line="240" w:lineRule="auto"/>
              <w:rPr>
                <w:rFonts w:ascii="Times New Roman" w:hAnsi="Times New Roman"/>
              </w:rPr>
            </w:pPr>
            <w:r>
              <w:rPr>
                <w:rFonts w:ascii="Times New Roman" w:hAnsi="Times New Roman"/>
              </w:rPr>
              <w:t>公众成员</w:t>
            </w:r>
          </w:p>
        </w:tc>
      </w:tr>
      <w:tr w14:paraId="4AB42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0E30E8F9">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056654EE">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41D4D1FA">
            <w:pPr>
              <w:pStyle w:val="107"/>
              <w:spacing w:line="240" w:lineRule="auto"/>
              <w:rPr>
                <w:rFonts w:ascii="Times New Roman" w:hAnsi="Times New Roman"/>
              </w:rPr>
            </w:pPr>
            <w:r>
              <w:rPr>
                <w:rFonts w:ascii="Times New Roman" w:hAnsi="Times New Roman"/>
              </w:rPr>
              <w:t>10</w:t>
            </w:r>
          </w:p>
        </w:tc>
        <w:tc>
          <w:tcPr>
            <w:tcW w:w="708" w:type="dxa"/>
            <w:tcBorders>
              <w:left w:val="single" w:color="auto" w:sz="4" w:space="0"/>
              <w:bottom w:val="single" w:color="auto" w:sz="4" w:space="0"/>
              <w:right w:val="single" w:color="auto" w:sz="4" w:space="0"/>
            </w:tcBorders>
            <w:vAlign w:val="center"/>
          </w:tcPr>
          <w:p w14:paraId="1C884169">
            <w:pPr>
              <w:pStyle w:val="107"/>
              <w:spacing w:line="240" w:lineRule="auto"/>
              <w:rPr>
                <w:rFonts w:ascii="Times New Roman" w:hAnsi="Times New Roman"/>
              </w:rPr>
            </w:pPr>
            <w:r>
              <w:rPr>
                <w:rFonts w:ascii="Times New Roman" w:hAnsi="Times New Roman"/>
              </w:rPr>
              <w:t>东北侧</w:t>
            </w:r>
          </w:p>
        </w:tc>
        <w:tc>
          <w:tcPr>
            <w:tcW w:w="692" w:type="dxa"/>
            <w:tcBorders>
              <w:top w:val="single" w:color="auto" w:sz="4" w:space="0"/>
              <w:left w:val="single" w:color="auto" w:sz="4" w:space="0"/>
              <w:bottom w:val="single" w:color="auto" w:sz="4" w:space="0"/>
              <w:right w:val="single" w:color="auto" w:sz="4" w:space="0"/>
            </w:tcBorders>
            <w:vAlign w:val="center"/>
          </w:tcPr>
          <w:p w14:paraId="3242079A">
            <w:pPr>
              <w:pStyle w:val="107"/>
              <w:spacing w:line="240" w:lineRule="auto"/>
              <w:rPr>
                <w:rFonts w:ascii="Times New Roman" w:hAnsi="Times New Roman"/>
              </w:rPr>
            </w:pPr>
            <w:r>
              <w:rPr>
                <w:rFonts w:ascii="Times New Roman" w:hAnsi="Times New Roman"/>
              </w:rPr>
              <w:t>65</w:t>
            </w:r>
          </w:p>
        </w:tc>
        <w:tc>
          <w:tcPr>
            <w:tcW w:w="1239" w:type="dxa"/>
            <w:tcBorders>
              <w:top w:val="single" w:color="auto" w:sz="4" w:space="0"/>
              <w:left w:val="single" w:color="auto" w:sz="4" w:space="0"/>
              <w:bottom w:val="single" w:color="auto" w:sz="4" w:space="0"/>
              <w:right w:val="single" w:color="auto" w:sz="4" w:space="0"/>
            </w:tcBorders>
            <w:vAlign w:val="center"/>
          </w:tcPr>
          <w:p w14:paraId="3835220A">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6967B51E">
            <w:pPr>
              <w:pStyle w:val="107"/>
              <w:spacing w:line="240" w:lineRule="auto"/>
              <w:rPr>
                <w:rFonts w:ascii="Times New Roman" w:hAnsi="Times New Roman"/>
              </w:rPr>
            </w:pPr>
            <w:r>
              <w:rPr>
                <w:rFonts w:ascii="Times New Roman" w:hAnsi="Times New Roman"/>
              </w:rPr>
              <w:t>二期外科住院部</w:t>
            </w:r>
          </w:p>
        </w:tc>
        <w:tc>
          <w:tcPr>
            <w:tcW w:w="1086" w:type="dxa"/>
            <w:tcBorders>
              <w:top w:val="single" w:color="auto" w:sz="4" w:space="0"/>
              <w:left w:val="single" w:color="auto" w:sz="4" w:space="0"/>
              <w:bottom w:val="single" w:color="auto" w:sz="4" w:space="0"/>
              <w:right w:val="single" w:color="auto" w:sz="4" w:space="0"/>
            </w:tcBorders>
          </w:tcPr>
          <w:p w14:paraId="4A9C37C9">
            <w:pPr>
              <w:pStyle w:val="107"/>
              <w:spacing w:line="240" w:lineRule="auto"/>
              <w:rPr>
                <w:rFonts w:ascii="Times New Roman" w:hAnsi="Times New Roman"/>
              </w:rPr>
            </w:pPr>
            <w:r>
              <w:rPr>
                <w:rFonts w:ascii="Times New Roman" w:hAnsi="Times New Roman"/>
              </w:rPr>
              <w:t>流动人口</w:t>
            </w:r>
          </w:p>
        </w:tc>
        <w:tc>
          <w:tcPr>
            <w:tcW w:w="892" w:type="dxa"/>
            <w:tcBorders>
              <w:top w:val="single" w:color="auto" w:sz="4" w:space="0"/>
              <w:left w:val="single" w:color="auto" w:sz="4" w:space="0"/>
              <w:bottom w:val="single" w:color="auto" w:sz="4" w:space="0"/>
              <w:right w:val="single" w:color="auto" w:sz="4" w:space="0"/>
            </w:tcBorders>
            <w:vAlign w:val="center"/>
          </w:tcPr>
          <w:p w14:paraId="6614E578">
            <w:pPr>
              <w:pStyle w:val="107"/>
              <w:spacing w:line="240" w:lineRule="auto"/>
              <w:rPr>
                <w:rFonts w:ascii="Times New Roman" w:hAnsi="Times New Roman"/>
              </w:rPr>
            </w:pPr>
            <w:r>
              <w:rPr>
                <w:rFonts w:ascii="Times New Roman" w:hAnsi="Times New Roman"/>
              </w:rPr>
              <w:t>公众成员</w:t>
            </w:r>
          </w:p>
        </w:tc>
      </w:tr>
      <w:tr w14:paraId="791D8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7CA60599">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0831B7F8">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766B6275">
            <w:pPr>
              <w:pStyle w:val="107"/>
              <w:spacing w:line="240" w:lineRule="auto"/>
              <w:rPr>
                <w:rFonts w:ascii="Times New Roman" w:hAnsi="Times New Roman"/>
              </w:rPr>
            </w:pPr>
            <w:r>
              <w:rPr>
                <w:rFonts w:ascii="Times New Roman" w:hAnsi="Times New Roman"/>
              </w:rPr>
              <w:t>11</w:t>
            </w:r>
          </w:p>
        </w:tc>
        <w:tc>
          <w:tcPr>
            <w:tcW w:w="708" w:type="dxa"/>
            <w:tcBorders>
              <w:left w:val="single" w:color="auto" w:sz="4" w:space="0"/>
              <w:bottom w:val="single" w:color="auto" w:sz="4" w:space="0"/>
              <w:right w:val="single" w:color="auto" w:sz="4" w:space="0"/>
            </w:tcBorders>
            <w:vAlign w:val="center"/>
          </w:tcPr>
          <w:p w14:paraId="10AD19A5">
            <w:pPr>
              <w:pStyle w:val="107"/>
              <w:spacing w:line="240" w:lineRule="auto"/>
              <w:rPr>
                <w:rFonts w:ascii="Times New Roman" w:hAnsi="Times New Roman"/>
              </w:rPr>
            </w:pPr>
            <w:r>
              <w:rPr>
                <w:rFonts w:ascii="Times New Roman" w:hAnsi="Times New Roman"/>
              </w:rPr>
              <w:t>南侧</w:t>
            </w:r>
          </w:p>
        </w:tc>
        <w:tc>
          <w:tcPr>
            <w:tcW w:w="692" w:type="dxa"/>
            <w:tcBorders>
              <w:top w:val="single" w:color="auto" w:sz="4" w:space="0"/>
              <w:left w:val="single" w:color="auto" w:sz="4" w:space="0"/>
              <w:bottom w:val="single" w:color="auto" w:sz="4" w:space="0"/>
              <w:right w:val="single" w:color="auto" w:sz="4" w:space="0"/>
            </w:tcBorders>
            <w:vAlign w:val="center"/>
          </w:tcPr>
          <w:p w14:paraId="5BBD7B39">
            <w:pPr>
              <w:pStyle w:val="107"/>
              <w:spacing w:line="240" w:lineRule="auto"/>
              <w:rPr>
                <w:rFonts w:ascii="Times New Roman" w:hAnsi="Times New Roman"/>
              </w:rPr>
            </w:pPr>
            <w:r>
              <w:rPr>
                <w:rFonts w:ascii="Times New Roman" w:hAnsi="Times New Roman"/>
              </w:rPr>
              <w:t>77</w:t>
            </w:r>
          </w:p>
        </w:tc>
        <w:tc>
          <w:tcPr>
            <w:tcW w:w="1239" w:type="dxa"/>
            <w:tcBorders>
              <w:top w:val="single" w:color="auto" w:sz="4" w:space="0"/>
              <w:left w:val="single" w:color="auto" w:sz="4" w:space="0"/>
              <w:bottom w:val="single" w:color="auto" w:sz="4" w:space="0"/>
              <w:right w:val="single" w:color="auto" w:sz="4" w:space="0"/>
            </w:tcBorders>
            <w:vAlign w:val="center"/>
          </w:tcPr>
          <w:p w14:paraId="51563C62">
            <w:pPr>
              <w:pStyle w:val="107"/>
              <w:spacing w:line="240" w:lineRule="auto"/>
              <w:rPr>
                <w:rFonts w:ascii="Times New Roman" w:hAnsi="Times New Roman"/>
              </w:rPr>
            </w:pPr>
            <w:r>
              <w:rPr>
                <w:rFonts w:ascii="Times New Roman" w:hAnsi="Times New Roman"/>
              </w:rPr>
              <w:t>山坡丛林</w:t>
            </w:r>
          </w:p>
        </w:tc>
        <w:tc>
          <w:tcPr>
            <w:tcW w:w="2059" w:type="dxa"/>
            <w:tcBorders>
              <w:top w:val="single" w:color="auto" w:sz="4" w:space="0"/>
              <w:left w:val="single" w:color="auto" w:sz="4" w:space="0"/>
              <w:bottom w:val="single" w:color="auto" w:sz="4" w:space="0"/>
              <w:right w:val="single" w:color="auto" w:sz="4" w:space="0"/>
            </w:tcBorders>
            <w:vAlign w:val="center"/>
          </w:tcPr>
          <w:p w14:paraId="74574C39">
            <w:pPr>
              <w:pStyle w:val="107"/>
              <w:spacing w:line="240" w:lineRule="auto"/>
              <w:rPr>
                <w:rFonts w:ascii="Times New Roman" w:hAnsi="Times New Roman"/>
              </w:rPr>
            </w:pPr>
            <w:r>
              <w:rPr>
                <w:rFonts w:ascii="Times New Roman" w:hAnsi="Times New Roman"/>
              </w:rPr>
              <w:t>暹岗社区</w:t>
            </w:r>
          </w:p>
        </w:tc>
        <w:tc>
          <w:tcPr>
            <w:tcW w:w="1086" w:type="dxa"/>
            <w:tcBorders>
              <w:top w:val="single" w:color="auto" w:sz="4" w:space="0"/>
              <w:left w:val="single" w:color="auto" w:sz="4" w:space="0"/>
              <w:bottom w:val="single" w:color="auto" w:sz="4" w:space="0"/>
              <w:right w:val="single" w:color="auto" w:sz="4" w:space="0"/>
            </w:tcBorders>
          </w:tcPr>
          <w:p w14:paraId="541411A1">
            <w:pPr>
              <w:pStyle w:val="107"/>
              <w:spacing w:line="240" w:lineRule="auto"/>
              <w:rPr>
                <w:rFonts w:ascii="Times New Roman" w:hAnsi="Times New Roman"/>
              </w:rPr>
            </w:pPr>
            <w:r>
              <w:rPr>
                <w:rFonts w:ascii="Times New Roman" w:hAnsi="Times New Roman"/>
              </w:rPr>
              <w:t>流动人口</w:t>
            </w:r>
          </w:p>
        </w:tc>
        <w:tc>
          <w:tcPr>
            <w:tcW w:w="892" w:type="dxa"/>
            <w:tcBorders>
              <w:top w:val="single" w:color="auto" w:sz="4" w:space="0"/>
              <w:left w:val="single" w:color="auto" w:sz="4" w:space="0"/>
              <w:bottom w:val="single" w:color="auto" w:sz="4" w:space="0"/>
              <w:right w:val="single" w:color="auto" w:sz="4" w:space="0"/>
            </w:tcBorders>
            <w:vAlign w:val="center"/>
          </w:tcPr>
          <w:p w14:paraId="20F52F1F">
            <w:pPr>
              <w:pStyle w:val="107"/>
              <w:spacing w:line="240" w:lineRule="auto"/>
              <w:rPr>
                <w:rFonts w:ascii="Times New Roman" w:hAnsi="Times New Roman"/>
              </w:rPr>
            </w:pPr>
            <w:r>
              <w:rPr>
                <w:rFonts w:ascii="Times New Roman" w:hAnsi="Times New Roman"/>
              </w:rPr>
              <w:t>公众成员</w:t>
            </w:r>
          </w:p>
        </w:tc>
      </w:tr>
      <w:tr w14:paraId="2CF54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7CA07674">
            <w:pPr>
              <w:pStyle w:val="107"/>
              <w:spacing w:line="240" w:lineRule="auto"/>
              <w:rPr>
                <w:rFonts w:ascii="Times New Roman" w:hAnsi="Times New Roman"/>
              </w:rPr>
            </w:pPr>
          </w:p>
        </w:tc>
        <w:tc>
          <w:tcPr>
            <w:tcW w:w="0" w:type="auto"/>
            <w:vMerge w:val="restart"/>
            <w:tcBorders>
              <w:left w:val="single" w:color="auto" w:sz="4" w:space="0"/>
              <w:right w:val="single" w:color="auto" w:sz="4" w:space="0"/>
            </w:tcBorders>
            <w:vAlign w:val="center"/>
          </w:tcPr>
          <w:p w14:paraId="32ED3568">
            <w:pPr>
              <w:pStyle w:val="107"/>
              <w:spacing w:line="240" w:lineRule="auto"/>
              <w:rPr>
                <w:rFonts w:ascii="Times New Roman" w:hAnsi="Times New Roman"/>
              </w:rPr>
            </w:pPr>
            <w:r>
              <w:rPr>
                <w:rFonts w:ascii="Times New Roman" w:hAnsi="Times New Roman"/>
              </w:rPr>
              <w:t>建筑内</w:t>
            </w:r>
          </w:p>
        </w:tc>
        <w:tc>
          <w:tcPr>
            <w:tcW w:w="0" w:type="auto"/>
            <w:tcBorders>
              <w:left w:val="single" w:color="auto" w:sz="4" w:space="0"/>
              <w:right w:val="single" w:color="auto" w:sz="4" w:space="0"/>
            </w:tcBorders>
            <w:vAlign w:val="center"/>
          </w:tcPr>
          <w:p w14:paraId="51269499">
            <w:pPr>
              <w:pStyle w:val="107"/>
              <w:spacing w:line="240" w:lineRule="auto"/>
              <w:rPr>
                <w:rFonts w:ascii="Times New Roman" w:hAnsi="Times New Roman"/>
              </w:rPr>
            </w:pPr>
            <w:r>
              <w:rPr>
                <w:rFonts w:ascii="Times New Roman" w:hAnsi="Times New Roman"/>
              </w:rPr>
              <w:t>12</w:t>
            </w:r>
          </w:p>
        </w:tc>
        <w:tc>
          <w:tcPr>
            <w:tcW w:w="708" w:type="dxa"/>
            <w:tcBorders>
              <w:top w:val="single" w:color="auto" w:sz="4" w:space="0"/>
              <w:left w:val="single" w:color="auto" w:sz="4" w:space="0"/>
              <w:right w:val="single" w:color="auto" w:sz="4" w:space="0"/>
            </w:tcBorders>
            <w:vAlign w:val="center"/>
          </w:tcPr>
          <w:p w14:paraId="501F85CD">
            <w:pPr>
              <w:pStyle w:val="107"/>
              <w:spacing w:line="240" w:lineRule="auto"/>
              <w:rPr>
                <w:rFonts w:ascii="Times New Roman" w:hAnsi="Times New Roman"/>
              </w:rPr>
            </w:pPr>
            <w:r>
              <w:rPr>
                <w:rFonts w:ascii="Times New Roman" w:hAnsi="Times New Roman"/>
              </w:rPr>
              <w:t>东侧</w:t>
            </w:r>
          </w:p>
        </w:tc>
        <w:tc>
          <w:tcPr>
            <w:tcW w:w="692" w:type="dxa"/>
            <w:tcBorders>
              <w:top w:val="single" w:color="auto" w:sz="4" w:space="0"/>
              <w:left w:val="single" w:color="auto" w:sz="4" w:space="0"/>
              <w:bottom w:val="single" w:color="auto" w:sz="4" w:space="0"/>
              <w:right w:val="single" w:color="auto" w:sz="4" w:space="0"/>
            </w:tcBorders>
            <w:vAlign w:val="center"/>
          </w:tcPr>
          <w:p w14:paraId="645CE99B">
            <w:pPr>
              <w:pStyle w:val="107"/>
              <w:spacing w:line="240" w:lineRule="auto"/>
              <w:rPr>
                <w:rFonts w:ascii="Times New Roman" w:hAnsi="Times New Roman"/>
              </w:rPr>
            </w:pPr>
            <w:r>
              <w:rPr>
                <w:rFonts w:ascii="Times New Roman" w:hAnsi="Times New Roman"/>
              </w:rPr>
              <w:t>0</w:t>
            </w:r>
          </w:p>
        </w:tc>
        <w:tc>
          <w:tcPr>
            <w:tcW w:w="1239" w:type="dxa"/>
            <w:tcBorders>
              <w:top w:val="single" w:color="auto" w:sz="4" w:space="0"/>
              <w:left w:val="single" w:color="auto" w:sz="4" w:space="0"/>
              <w:bottom w:val="single" w:color="auto" w:sz="4" w:space="0"/>
              <w:right w:val="single" w:color="auto" w:sz="4" w:space="0"/>
            </w:tcBorders>
            <w:vAlign w:val="center"/>
          </w:tcPr>
          <w:p w14:paraId="0E5FD581">
            <w:pPr>
              <w:pStyle w:val="107"/>
              <w:spacing w:line="240" w:lineRule="auto"/>
              <w:rPr>
                <w:rFonts w:ascii="Times New Roman" w:hAnsi="Times New Roman"/>
              </w:rPr>
            </w:pPr>
            <w:r>
              <w:rPr>
                <w:rFonts w:ascii="Times New Roman" w:hAnsi="Times New Roman"/>
              </w:rPr>
              <w:t>控制室内</w:t>
            </w:r>
          </w:p>
        </w:tc>
        <w:tc>
          <w:tcPr>
            <w:tcW w:w="2059" w:type="dxa"/>
            <w:tcBorders>
              <w:top w:val="single" w:color="auto" w:sz="4" w:space="0"/>
              <w:left w:val="single" w:color="auto" w:sz="4" w:space="0"/>
              <w:bottom w:val="single" w:color="auto" w:sz="4" w:space="0"/>
              <w:right w:val="single" w:color="auto" w:sz="4" w:space="0"/>
            </w:tcBorders>
            <w:vAlign w:val="center"/>
          </w:tcPr>
          <w:p w14:paraId="0D8E7D33">
            <w:pPr>
              <w:pStyle w:val="107"/>
              <w:spacing w:line="240" w:lineRule="auto"/>
              <w:rPr>
                <w:rFonts w:ascii="Times New Roman" w:hAnsi="Times New Roman"/>
              </w:rPr>
            </w:pPr>
            <w:r>
              <w:rPr>
                <w:rFonts w:ascii="Times New Roman" w:hAnsi="Times New Roman"/>
              </w:rPr>
              <w:t>本项目辐射工作人员</w:t>
            </w:r>
          </w:p>
        </w:tc>
        <w:tc>
          <w:tcPr>
            <w:tcW w:w="1086" w:type="dxa"/>
            <w:tcBorders>
              <w:top w:val="single" w:color="auto" w:sz="4" w:space="0"/>
              <w:left w:val="single" w:color="auto" w:sz="4" w:space="0"/>
              <w:bottom w:val="single" w:color="auto" w:sz="4" w:space="0"/>
              <w:right w:val="single" w:color="auto" w:sz="4" w:space="0"/>
            </w:tcBorders>
            <w:vAlign w:val="center"/>
          </w:tcPr>
          <w:p w14:paraId="2E65BE02">
            <w:pPr>
              <w:pStyle w:val="107"/>
              <w:spacing w:line="240" w:lineRule="auto"/>
              <w:rPr>
                <w:rFonts w:ascii="Times New Roman" w:hAnsi="Times New Roman"/>
              </w:rPr>
            </w:pPr>
            <w:r>
              <w:rPr>
                <w:rFonts w:ascii="Times New Roman" w:hAnsi="Times New Roman"/>
              </w:rPr>
              <w:t>5</w:t>
            </w:r>
          </w:p>
        </w:tc>
        <w:tc>
          <w:tcPr>
            <w:tcW w:w="892" w:type="dxa"/>
            <w:tcBorders>
              <w:top w:val="single" w:color="auto" w:sz="4" w:space="0"/>
              <w:left w:val="single" w:color="auto" w:sz="4" w:space="0"/>
              <w:bottom w:val="single" w:color="auto" w:sz="4" w:space="0"/>
              <w:right w:val="single" w:color="auto" w:sz="4" w:space="0"/>
            </w:tcBorders>
            <w:vAlign w:val="center"/>
          </w:tcPr>
          <w:p w14:paraId="10371A36">
            <w:pPr>
              <w:pStyle w:val="107"/>
              <w:spacing w:line="240" w:lineRule="auto"/>
              <w:rPr>
                <w:rFonts w:ascii="Times New Roman" w:hAnsi="Times New Roman"/>
              </w:rPr>
            </w:pPr>
            <w:r>
              <w:rPr>
                <w:rFonts w:ascii="Times New Roman" w:hAnsi="Times New Roman"/>
              </w:rPr>
              <w:t>辐射工作人员</w:t>
            </w:r>
          </w:p>
        </w:tc>
      </w:tr>
      <w:tr w14:paraId="42DE7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58D94082">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218CA0C2">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2AFFEAAD">
            <w:pPr>
              <w:pStyle w:val="107"/>
              <w:spacing w:line="240" w:lineRule="auto"/>
              <w:rPr>
                <w:rFonts w:ascii="Times New Roman" w:hAnsi="Times New Roman"/>
              </w:rPr>
            </w:pPr>
            <w:r>
              <w:rPr>
                <w:rFonts w:ascii="Times New Roman" w:hAnsi="Times New Roman"/>
              </w:rPr>
              <w:t>13</w:t>
            </w:r>
          </w:p>
        </w:tc>
        <w:tc>
          <w:tcPr>
            <w:tcW w:w="708" w:type="dxa"/>
            <w:tcBorders>
              <w:top w:val="single" w:color="auto" w:sz="4" w:space="0"/>
              <w:left w:val="single" w:color="auto" w:sz="4" w:space="0"/>
              <w:right w:val="single" w:color="auto" w:sz="4" w:space="0"/>
            </w:tcBorders>
            <w:vAlign w:val="center"/>
          </w:tcPr>
          <w:p w14:paraId="36DAAB2A">
            <w:pPr>
              <w:pStyle w:val="107"/>
              <w:spacing w:line="240" w:lineRule="auto"/>
              <w:rPr>
                <w:rFonts w:ascii="Times New Roman" w:hAnsi="Times New Roman"/>
              </w:rPr>
            </w:pPr>
            <w:r>
              <w:rPr>
                <w:rFonts w:ascii="Times New Roman" w:hAnsi="Times New Roman"/>
              </w:rPr>
              <w:t>东侧及南侧</w:t>
            </w:r>
          </w:p>
        </w:tc>
        <w:tc>
          <w:tcPr>
            <w:tcW w:w="692" w:type="dxa"/>
            <w:tcBorders>
              <w:top w:val="single" w:color="auto" w:sz="4" w:space="0"/>
              <w:left w:val="single" w:color="auto" w:sz="4" w:space="0"/>
              <w:bottom w:val="single" w:color="auto" w:sz="4" w:space="0"/>
              <w:right w:val="single" w:color="auto" w:sz="4" w:space="0"/>
            </w:tcBorders>
            <w:vAlign w:val="center"/>
          </w:tcPr>
          <w:p w14:paraId="7DE54C8F">
            <w:pPr>
              <w:pStyle w:val="107"/>
              <w:spacing w:line="240" w:lineRule="auto"/>
              <w:rPr>
                <w:rFonts w:ascii="Times New Roman" w:hAnsi="Times New Roman"/>
              </w:rPr>
            </w:pPr>
            <w:r>
              <w:rPr>
                <w:rFonts w:ascii="Times New Roman" w:hAnsi="Times New Roman"/>
              </w:rPr>
              <w:t>0</w:t>
            </w:r>
          </w:p>
        </w:tc>
        <w:tc>
          <w:tcPr>
            <w:tcW w:w="1239" w:type="dxa"/>
            <w:tcBorders>
              <w:top w:val="single" w:color="auto" w:sz="4" w:space="0"/>
              <w:left w:val="single" w:color="auto" w:sz="4" w:space="0"/>
              <w:bottom w:val="single" w:color="auto" w:sz="4" w:space="0"/>
              <w:right w:val="single" w:color="auto" w:sz="4" w:space="0"/>
            </w:tcBorders>
            <w:vAlign w:val="center"/>
          </w:tcPr>
          <w:p w14:paraId="6AD93738">
            <w:pPr>
              <w:pStyle w:val="107"/>
              <w:spacing w:line="240" w:lineRule="auto"/>
              <w:rPr>
                <w:rFonts w:ascii="Times New Roman" w:hAnsi="Times New Roman"/>
              </w:rPr>
            </w:pPr>
            <w:r>
              <w:rPr>
                <w:rFonts w:ascii="Times New Roman" w:hAnsi="Times New Roman"/>
              </w:rPr>
              <w:t>候诊区内</w:t>
            </w:r>
          </w:p>
        </w:tc>
        <w:tc>
          <w:tcPr>
            <w:tcW w:w="2059" w:type="dxa"/>
            <w:tcBorders>
              <w:top w:val="single" w:color="auto" w:sz="4" w:space="0"/>
              <w:left w:val="single" w:color="auto" w:sz="4" w:space="0"/>
              <w:bottom w:val="single" w:color="auto" w:sz="4" w:space="0"/>
              <w:right w:val="single" w:color="auto" w:sz="4" w:space="0"/>
            </w:tcBorders>
            <w:vAlign w:val="center"/>
          </w:tcPr>
          <w:p w14:paraId="2A285EE0">
            <w:pPr>
              <w:pStyle w:val="107"/>
              <w:spacing w:line="240" w:lineRule="auto"/>
              <w:rPr>
                <w:rFonts w:ascii="Times New Roman" w:hAnsi="Times New Roman"/>
              </w:rPr>
            </w:pPr>
            <w:r>
              <w:rPr>
                <w:rFonts w:hint="eastAsia" w:ascii="Times New Roman" w:hAnsi="Times New Roman"/>
              </w:rPr>
              <w:t>医院</w:t>
            </w:r>
            <w:r>
              <w:rPr>
                <w:rFonts w:ascii="Times New Roman" w:hAnsi="Times New Roman"/>
              </w:rPr>
              <w:t>其他医护人员</w:t>
            </w:r>
          </w:p>
        </w:tc>
        <w:tc>
          <w:tcPr>
            <w:tcW w:w="1086" w:type="dxa"/>
            <w:tcBorders>
              <w:top w:val="single" w:color="auto" w:sz="4" w:space="0"/>
              <w:left w:val="single" w:color="auto" w:sz="4" w:space="0"/>
              <w:bottom w:val="single" w:color="auto" w:sz="4" w:space="0"/>
              <w:right w:val="single" w:color="auto" w:sz="4" w:space="0"/>
            </w:tcBorders>
            <w:vAlign w:val="center"/>
          </w:tcPr>
          <w:p w14:paraId="69CC70D8">
            <w:pPr>
              <w:pStyle w:val="107"/>
              <w:spacing w:line="240" w:lineRule="auto"/>
              <w:rPr>
                <w:rFonts w:ascii="Times New Roman" w:hAnsi="Times New Roman"/>
              </w:rPr>
            </w:pPr>
            <w:r>
              <w:rPr>
                <w:rFonts w:ascii="Times New Roman" w:hAnsi="Times New Roman"/>
              </w:rPr>
              <w:t>10</w:t>
            </w:r>
          </w:p>
        </w:tc>
        <w:tc>
          <w:tcPr>
            <w:tcW w:w="892" w:type="dxa"/>
            <w:tcBorders>
              <w:top w:val="single" w:color="auto" w:sz="4" w:space="0"/>
              <w:left w:val="single" w:color="auto" w:sz="4" w:space="0"/>
              <w:bottom w:val="single" w:color="auto" w:sz="4" w:space="0"/>
              <w:right w:val="single" w:color="auto" w:sz="4" w:space="0"/>
            </w:tcBorders>
            <w:vAlign w:val="center"/>
          </w:tcPr>
          <w:p w14:paraId="6311F485">
            <w:pPr>
              <w:pStyle w:val="107"/>
              <w:spacing w:line="240" w:lineRule="auto"/>
              <w:rPr>
                <w:rFonts w:ascii="Times New Roman" w:hAnsi="Times New Roman"/>
              </w:rPr>
            </w:pPr>
            <w:r>
              <w:rPr>
                <w:rFonts w:ascii="Times New Roman" w:hAnsi="Times New Roman"/>
              </w:rPr>
              <w:t>公众成员</w:t>
            </w:r>
          </w:p>
        </w:tc>
      </w:tr>
      <w:tr w14:paraId="47E67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6C2CB214">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09B88E33">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0833E16B">
            <w:pPr>
              <w:pStyle w:val="107"/>
              <w:spacing w:line="240" w:lineRule="auto"/>
              <w:rPr>
                <w:rFonts w:ascii="Times New Roman" w:hAnsi="Times New Roman"/>
              </w:rPr>
            </w:pPr>
            <w:r>
              <w:rPr>
                <w:rFonts w:ascii="Times New Roman" w:hAnsi="Times New Roman"/>
              </w:rPr>
              <w:t>14</w:t>
            </w:r>
          </w:p>
        </w:tc>
        <w:tc>
          <w:tcPr>
            <w:tcW w:w="708" w:type="dxa"/>
            <w:tcBorders>
              <w:left w:val="single" w:color="auto" w:sz="4" w:space="0"/>
              <w:right w:val="single" w:color="auto" w:sz="4" w:space="0"/>
            </w:tcBorders>
            <w:vAlign w:val="center"/>
          </w:tcPr>
          <w:p w14:paraId="495B83C3">
            <w:pPr>
              <w:pStyle w:val="107"/>
              <w:spacing w:line="240" w:lineRule="auto"/>
              <w:rPr>
                <w:rFonts w:ascii="Times New Roman" w:hAnsi="Times New Roman"/>
              </w:rPr>
            </w:pPr>
            <w:r>
              <w:rPr>
                <w:rFonts w:ascii="Times New Roman" w:hAnsi="Times New Roman"/>
              </w:rPr>
              <w:t>东侧及南侧</w:t>
            </w:r>
          </w:p>
        </w:tc>
        <w:tc>
          <w:tcPr>
            <w:tcW w:w="692" w:type="dxa"/>
            <w:tcBorders>
              <w:top w:val="single" w:color="auto" w:sz="4" w:space="0"/>
              <w:left w:val="single" w:color="auto" w:sz="4" w:space="0"/>
              <w:bottom w:val="single" w:color="auto" w:sz="4" w:space="0"/>
              <w:right w:val="single" w:color="auto" w:sz="4" w:space="0"/>
            </w:tcBorders>
            <w:vAlign w:val="center"/>
          </w:tcPr>
          <w:p w14:paraId="56DAAB07">
            <w:pPr>
              <w:pStyle w:val="107"/>
              <w:spacing w:line="240" w:lineRule="auto"/>
              <w:rPr>
                <w:rFonts w:ascii="Times New Roman" w:hAnsi="Times New Roman"/>
              </w:rPr>
            </w:pPr>
            <w:r>
              <w:rPr>
                <w:rFonts w:ascii="Times New Roman" w:hAnsi="Times New Roman"/>
              </w:rPr>
              <w:t>0</w:t>
            </w:r>
          </w:p>
        </w:tc>
        <w:tc>
          <w:tcPr>
            <w:tcW w:w="1239" w:type="dxa"/>
            <w:tcBorders>
              <w:top w:val="single" w:color="auto" w:sz="4" w:space="0"/>
              <w:left w:val="single" w:color="auto" w:sz="4" w:space="0"/>
              <w:bottom w:val="single" w:color="auto" w:sz="4" w:space="0"/>
              <w:right w:val="single" w:color="auto" w:sz="4" w:space="0"/>
            </w:tcBorders>
            <w:vAlign w:val="center"/>
          </w:tcPr>
          <w:p w14:paraId="368EAE86">
            <w:pPr>
              <w:pStyle w:val="107"/>
              <w:spacing w:line="240" w:lineRule="auto"/>
              <w:rPr>
                <w:rFonts w:ascii="Times New Roman" w:hAnsi="Times New Roman"/>
              </w:rPr>
            </w:pPr>
            <w:r>
              <w:rPr>
                <w:rFonts w:ascii="Times New Roman" w:hAnsi="Times New Roman"/>
              </w:rPr>
              <w:t>候诊区内</w:t>
            </w:r>
          </w:p>
        </w:tc>
        <w:tc>
          <w:tcPr>
            <w:tcW w:w="2059" w:type="dxa"/>
            <w:tcBorders>
              <w:top w:val="single" w:color="auto" w:sz="4" w:space="0"/>
              <w:left w:val="single" w:color="auto" w:sz="4" w:space="0"/>
              <w:bottom w:val="single" w:color="auto" w:sz="4" w:space="0"/>
              <w:right w:val="single" w:color="auto" w:sz="4" w:space="0"/>
            </w:tcBorders>
            <w:vAlign w:val="center"/>
          </w:tcPr>
          <w:p w14:paraId="1ACA1FA7">
            <w:pPr>
              <w:pStyle w:val="107"/>
              <w:spacing w:line="240" w:lineRule="auto"/>
              <w:rPr>
                <w:rFonts w:ascii="Times New Roman" w:hAnsi="Times New Roman"/>
              </w:rPr>
            </w:pPr>
            <w:r>
              <w:rPr>
                <w:rFonts w:ascii="Times New Roman" w:hAnsi="Times New Roman"/>
              </w:rPr>
              <w:t>患者家属</w:t>
            </w:r>
          </w:p>
        </w:tc>
        <w:tc>
          <w:tcPr>
            <w:tcW w:w="1086" w:type="dxa"/>
            <w:tcBorders>
              <w:top w:val="single" w:color="auto" w:sz="4" w:space="0"/>
              <w:left w:val="single" w:color="auto" w:sz="4" w:space="0"/>
              <w:bottom w:val="single" w:color="auto" w:sz="4" w:space="0"/>
              <w:right w:val="single" w:color="auto" w:sz="4" w:space="0"/>
            </w:tcBorders>
            <w:vAlign w:val="center"/>
          </w:tcPr>
          <w:p w14:paraId="572CFC65">
            <w:pPr>
              <w:pStyle w:val="107"/>
              <w:spacing w:line="240" w:lineRule="auto"/>
              <w:rPr>
                <w:rFonts w:ascii="Times New Roman" w:hAnsi="Times New Roman"/>
              </w:rPr>
            </w:pPr>
            <w:r>
              <w:rPr>
                <w:rFonts w:ascii="Times New Roman" w:hAnsi="Times New Roman"/>
              </w:rPr>
              <w:t>30</w:t>
            </w:r>
          </w:p>
        </w:tc>
        <w:tc>
          <w:tcPr>
            <w:tcW w:w="892" w:type="dxa"/>
            <w:tcBorders>
              <w:top w:val="single" w:color="auto" w:sz="4" w:space="0"/>
              <w:left w:val="single" w:color="auto" w:sz="4" w:space="0"/>
              <w:bottom w:val="single" w:color="auto" w:sz="4" w:space="0"/>
              <w:right w:val="single" w:color="auto" w:sz="4" w:space="0"/>
            </w:tcBorders>
            <w:vAlign w:val="center"/>
          </w:tcPr>
          <w:p w14:paraId="73DB8767">
            <w:pPr>
              <w:pStyle w:val="107"/>
              <w:spacing w:line="240" w:lineRule="auto"/>
              <w:rPr>
                <w:rFonts w:ascii="Times New Roman" w:hAnsi="Times New Roman"/>
              </w:rPr>
            </w:pPr>
            <w:r>
              <w:rPr>
                <w:rFonts w:ascii="Times New Roman" w:hAnsi="Times New Roman"/>
              </w:rPr>
              <w:t>公众成员</w:t>
            </w:r>
          </w:p>
        </w:tc>
      </w:tr>
      <w:tr w14:paraId="7CD3E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restart"/>
            <w:tcBorders>
              <w:left w:val="single" w:color="auto" w:sz="4" w:space="0"/>
              <w:right w:val="single" w:color="auto" w:sz="4" w:space="0"/>
            </w:tcBorders>
            <w:vAlign w:val="center"/>
          </w:tcPr>
          <w:p w14:paraId="4C22BA04">
            <w:pPr>
              <w:pStyle w:val="107"/>
              <w:spacing w:line="240" w:lineRule="auto"/>
              <w:rPr>
                <w:rFonts w:ascii="Times New Roman" w:hAnsi="Times New Roman"/>
              </w:rPr>
            </w:pPr>
            <w:r>
              <w:rPr>
                <w:rFonts w:ascii="Times New Roman" w:hAnsi="Times New Roman"/>
              </w:rPr>
              <w:t>定位CT机房</w:t>
            </w:r>
          </w:p>
        </w:tc>
        <w:tc>
          <w:tcPr>
            <w:tcW w:w="0" w:type="auto"/>
            <w:vMerge w:val="restart"/>
            <w:tcBorders>
              <w:left w:val="single" w:color="auto" w:sz="4" w:space="0"/>
              <w:right w:val="single" w:color="auto" w:sz="4" w:space="0"/>
            </w:tcBorders>
            <w:vAlign w:val="center"/>
          </w:tcPr>
          <w:p w14:paraId="6B46F9E7">
            <w:pPr>
              <w:pStyle w:val="107"/>
              <w:spacing w:line="240" w:lineRule="auto"/>
              <w:rPr>
                <w:rFonts w:ascii="Times New Roman" w:hAnsi="Times New Roman"/>
              </w:rPr>
            </w:pPr>
            <w:r>
              <w:rPr>
                <w:rFonts w:ascii="Times New Roman" w:hAnsi="Times New Roman"/>
              </w:rPr>
              <w:t>建筑外</w:t>
            </w:r>
          </w:p>
        </w:tc>
        <w:tc>
          <w:tcPr>
            <w:tcW w:w="0" w:type="auto"/>
            <w:tcBorders>
              <w:left w:val="single" w:color="auto" w:sz="4" w:space="0"/>
              <w:right w:val="single" w:color="auto" w:sz="4" w:space="0"/>
            </w:tcBorders>
            <w:vAlign w:val="center"/>
          </w:tcPr>
          <w:p w14:paraId="1CEDF394">
            <w:pPr>
              <w:pStyle w:val="107"/>
              <w:spacing w:line="240" w:lineRule="auto"/>
              <w:rPr>
                <w:rFonts w:ascii="Times New Roman" w:hAnsi="Times New Roman"/>
              </w:rPr>
            </w:pPr>
            <w:r>
              <w:rPr>
                <w:rFonts w:ascii="Times New Roman" w:hAnsi="Times New Roman"/>
              </w:rPr>
              <w:t>1</w:t>
            </w:r>
          </w:p>
        </w:tc>
        <w:tc>
          <w:tcPr>
            <w:tcW w:w="708" w:type="dxa"/>
            <w:tcBorders>
              <w:top w:val="single" w:color="auto" w:sz="4" w:space="0"/>
              <w:left w:val="single" w:color="auto" w:sz="4" w:space="0"/>
              <w:bottom w:val="single" w:color="auto" w:sz="4" w:space="0"/>
              <w:right w:val="single" w:color="auto" w:sz="4" w:space="0"/>
            </w:tcBorders>
            <w:vAlign w:val="center"/>
          </w:tcPr>
          <w:p w14:paraId="6FA63487">
            <w:pPr>
              <w:pStyle w:val="107"/>
              <w:spacing w:line="240" w:lineRule="auto"/>
              <w:rPr>
                <w:rFonts w:ascii="Times New Roman" w:hAnsi="Times New Roman"/>
              </w:rPr>
            </w:pPr>
            <w:r>
              <w:rPr>
                <w:rFonts w:ascii="Times New Roman" w:hAnsi="Times New Roman"/>
              </w:rPr>
              <w:t>北侧</w:t>
            </w:r>
          </w:p>
        </w:tc>
        <w:tc>
          <w:tcPr>
            <w:tcW w:w="692" w:type="dxa"/>
            <w:tcBorders>
              <w:top w:val="single" w:color="auto" w:sz="4" w:space="0"/>
              <w:left w:val="single" w:color="auto" w:sz="4" w:space="0"/>
              <w:bottom w:val="single" w:color="auto" w:sz="4" w:space="0"/>
              <w:right w:val="single" w:color="auto" w:sz="4" w:space="0"/>
            </w:tcBorders>
            <w:vAlign w:val="center"/>
          </w:tcPr>
          <w:p w14:paraId="563A0EFC">
            <w:pPr>
              <w:pStyle w:val="107"/>
              <w:spacing w:line="240" w:lineRule="auto"/>
              <w:rPr>
                <w:rFonts w:ascii="Times New Roman" w:hAnsi="Times New Roman"/>
              </w:rPr>
            </w:pPr>
            <w:r>
              <w:rPr>
                <w:rFonts w:ascii="Times New Roman" w:hAnsi="Times New Roman"/>
              </w:rPr>
              <w:t>8</w:t>
            </w:r>
          </w:p>
        </w:tc>
        <w:tc>
          <w:tcPr>
            <w:tcW w:w="1239" w:type="dxa"/>
            <w:tcBorders>
              <w:top w:val="single" w:color="auto" w:sz="4" w:space="0"/>
              <w:left w:val="single" w:color="auto" w:sz="4" w:space="0"/>
              <w:bottom w:val="single" w:color="auto" w:sz="4" w:space="0"/>
              <w:right w:val="single" w:color="auto" w:sz="4" w:space="0"/>
            </w:tcBorders>
            <w:vAlign w:val="center"/>
          </w:tcPr>
          <w:p w14:paraId="03DF95CF">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3382E79D">
            <w:pPr>
              <w:pStyle w:val="107"/>
              <w:spacing w:line="240" w:lineRule="auto"/>
              <w:rPr>
                <w:rFonts w:ascii="Times New Roman" w:hAnsi="Times New Roman"/>
              </w:rPr>
            </w:pPr>
            <w:r>
              <w:rPr>
                <w:rFonts w:ascii="Times New Roman" w:hAnsi="Times New Roman"/>
              </w:rPr>
              <w:t>住院部</w:t>
            </w:r>
          </w:p>
        </w:tc>
        <w:tc>
          <w:tcPr>
            <w:tcW w:w="1086" w:type="dxa"/>
            <w:tcBorders>
              <w:top w:val="single" w:color="auto" w:sz="4" w:space="0"/>
              <w:left w:val="single" w:color="auto" w:sz="4" w:space="0"/>
              <w:bottom w:val="single" w:color="auto" w:sz="4" w:space="0"/>
              <w:right w:val="single" w:color="auto" w:sz="4" w:space="0"/>
            </w:tcBorders>
            <w:vAlign w:val="center"/>
          </w:tcPr>
          <w:p w14:paraId="3FFC3B77">
            <w:pPr>
              <w:pStyle w:val="107"/>
              <w:spacing w:line="240" w:lineRule="auto"/>
              <w:rPr>
                <w:rFonts w:ascii="Times New Roman" w:hAnsi="Times New Roman"/>
              </w:rPr>
            </w:pPr>
            <w:r>
              <w:rPr>
                <w:rFonts w:ascii="Times New Roman" w:hAnsi="Times New Roman"/>
              </w:rPr>
              <w:t>流动人口</w:t>
            </w:r>
          </w:p>
        </w:tc>
        <w:tc>
          <w:tcPr>
            <w:tcW w:w="892" w:type="dxa"/>
            <w:tcBorders>
              <w:top w:val="single" w:color="auto" w:sz="4" w:space="0"/>
              <w:left w:val="single" w:color="auto" w:sz="4" w:space="0"/>
              <w:bottom w:val="single" w:color="auto" w:sz="4" w:space="0"/>
              <w:right w:val="single" w:color="auto" w:sz="4" w:space="0"/>
            </w:tcBorders>
            <w:vAlign w:val="center"/>
          </w:tcPr>
          <w:p w14:paraId="4A821E5E">
            <w:pPr>
              <w:pStyle w:val="107"/>
              <w:spacing w:line="240" w:lineRule="auto"/>
              <w:rPr>
                <w:rFonts w:ascii="Times New Roman" w:hAnsi="Times New Roman"/>
              </w:rPr>
            </w:pPr>
            <w:r>
              <w:rPr>
                <w:rFonts w:ascii="Times New Roman" w:hAnsi="Times New Roman"/>
              </w:rPr>
              <w:t>公众成员</w:t>
            </w:r>
          </w:p>
        </w:tc>
      </w:tr>
      <w:tr w14:paraId="39CD5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68B91A91">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203D22D7">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646E56BD">
            <w:pPr>
              <w:pStyle w:val="107"/>
              <w:spacing w:line="240" w:lineRule="auto"/>
              <w:rPr>
                <w:rFonts w:ascii="Times New Roman" w:hAnsi="Times New Roman"/>
              </w:rPr>
            </w:pPr>
            <w:r>
              <w:rPr>
                <w:rFonts w:ascii="Times New Roman" w:hAnsi="Times New Roman"/>
              </w:rPr>
              <w:t>2</w:t>
            </w:r>
          </w:p>
        </w:tc>
        <w:tc>
          <w:tcPr>
            <w:tcW w:w="708" w:type="dxa"/>
            <w:tcBorders>
              <w:top w:val="single" w:color="auto" w:sz="4" w:space="0"/>
              <w:left w:val="single" w:color="auto" w:sz="4" w:space="0"/>
              <w:bottom w:val="single" w:color="auto" w:sz="4" w:space="0"/>
              <w:right w:val="single" w:color="auto" w:sz="4" w:space="0"/>
            </w:tcBorders>
            <w:vAlign w:val="center"/>
          </w:tcPr>
          <w:p w14:paraId="7802792F">
            <w:pPr>
              <w:pStyle w:val="107"/>
              <w:spacing w:line="240" w:lineRule="auto"/>
              <w:rPr>
                <w:rFonts w:ascii="Times New Roman" w:hAnsi="Times New Roman"/>
              </w:rPr>
            </w:pPr>
            <w:r>
              <w:rPr>
                <w:rFonts w:ascii="Times New Roman" w:hAnsi="Times New Roman"/>
              </w:rPr>
              <w:t>西侧</w:t>
            </w:r>
          </w:p>
        </w:tc>
        <w:tc>
          <w:tcPr>
            <w:tcW w:w="692" w:type="dxa"/>
            <w:tcBorders>
              <w:top w:val="single" w:color="auto" w:sz="4" w:space="0"/>
              <w:left w:val="single" w:color="auto" w:sz="4" w:space="0"/>
              <w:bottom w:val="single" w:color="auto" w:sz="4" w:space="0"/>
              <w:right w:val="single" w:color="auto" w:sz="4" w:space="0"/>
            </w:tcBorders>
            <w:vAlign w:val="center"/>
          </w:tcPr>
          <w:p w14:paraId="11EFE8D4">
            <w:pPr>
              <w:pStyle w:val="107"/>
              <w:spacing w:line="240" w:lineRule="auto"/>
              <w:rPr>
                <w:rFonts w:ascii="Times New Roman" w:hAnsi="Times New Roman"/>
              </w:rPr>
            </w:pPr>
            <w:r>
              <w:rPr>
                <w:rFonts w:ascii="Times New Roman" w:hAnsi="Times New Roman"/>
              </w:rPr>
              <w:t>40</w:t>
            </w:r>
          </w:p>
        </w:tc>
        <w:tc>
          <w:tcPr>
            <w:tcW w:w="1239" w:type="dxa"/>
            <w:tcBorders>
              <w:top w:val="single" w:color="auto" w:sz="4" w:space="0"/>
              <w:left w:val="single" w:color="auto" w:sz="4" w:space="0"/>
              <w:bottom w:val="single" w:color="auto" w:sz="4" w:space="0"/>
              <w:right w:val="single" w:color="auto" w:sz="4" w:space="0"/>
            </w:tcBorders>
            <w:vAlign w:val="center"/>
          </w:tcPr>
          <w:p w14:paraId="5F607795">
            <w:pPr>
              <w:pStyle w:val="107"/>
              <w:spacing w:line="240" w:lineRule="auto"/>
              <w:rPr>
                <w:rFonts w:ascii="Times New Roman" w:hAnsi="Times New Roman"/>
              </w:rPr>
            </w:pPr>
            <w:r>
              <w:rPr>
                <w:rFonts w:ascii="Times New Roman" w:hAnsi="Times New Roman"/>
              </w:rPr>
              <w:t>医院内道路</w:t>
            </w:r>
          </w:p>
        </w:tc>
        <w:tc>
          <w:tcPr>
            <w:tcW w:w="2059" w:type="dxa"/>
            <w:tcBorders>
              <w:top w:val="single" w:color="auto" w:sz="4" w:space="0"/>
              <w:left w:val="single" w:color="auto" w:sz="4" w:space="0"/>
              <w:bottom w:val="single" w:color="auto" w:sz="4" w:space="0"/>
              <w:right w:val="single" w:color="auto" w:sz="4" w:space="0"/>
            </w:tcBorders>
            <w:vAlign w:val="center"/>
          </w:tcPr>
          <w:p w14:paraId="12D8794E">
            <w:pPr>
              <w:pStyle w:val="107"/>
              <w:spacing w:line="240" w:lineRule="auto"/>
              <w:rPr>
                <w:rFonts w:ascii="Times New Roman" w:hAnsi="Times New Roman"/>
              </w:rPr>
            </w:pPr>
            <w:r>
              <w:rPr>
                <w:rFonts w:ascii="Times New Roman" w:hAnsi="Times New Roman"/>
              </w:rPr>
              <w:t>二期污水处理站</w:t>
            </w:r>
          </w:p>
        </w:tc>
        <w:tc>
          <w:tcPr>
            <w:tcW w:w="1086" w:type="dxa"/>
            <w:tcBorders>
              <w:top w:val="single" w:color="auto" w:sz="4" w:space="0"/>
              <w:left w:val="single" w:color="auto" w:sz="4" w:space="0"/>
              <w:bottom w:val="single" w:color="auto" w:sz="4" w:space="0"/>
              <w:right w:val="single" w:color="auto" w:sz="4" w:space="0"/>
            </w:tcBorders>
            <w:vAlign w:val="center"/>
          </w:tcPr>
          <w:p w14:paraId="15B26793">
            <w:pPr>
              <w:pStyle w:val="107"/>
              <w:spacing w:line="240" w:lineRule="auto"/>
              <w:rPr>
                <w:rFonts w:ascii="Times New Roman" w:hAnsi="Times New Roman"/>
              </w:rPr>
            </w:pPr>
            <w:r>
              <w:rPr>
                <w:rFonts w:ascii="Times New Roman" w:hAnsi="Times New Roman"/>
              </w:rPr>
              <w:t>10</w:t>
            </w:r>
          </w:p>
        </w:tc>
        <w:tc>
          <w:tcPr>
            <w:tcW w:w="892" w:type="dxa"/>
            <w:tcBorders>
              <w:top w:val="single" w:color="auto" w:sz="4" w:space="0"/>
              <w:left w:val="single" w:color="auto" w:sz="4" w:space="0"/>
              <w:bottom w:val="single" w:color="auto" w:sz="4" w:space="0"/>
              <w:right w:val="single" w:color="auto" w:sz="4" w:space="0"/>
            </w:tcBorders>
            <w:vAlign w:val="center"/>
          </w:tcPr>
          <w:p w14:paraId="783C3BC1">
            <w:pPr>
              <w:pStyle w:val="107"/>
              <w:spacing w:line="240" w:lineRule="auto"/>
              <w:rPr>
                <w:rFonts w:ascii="Times New Roman" w:hAnsi="Times New Roman"/>
              </w:rPr>
            </w:pPr>
            <w:r>
              <w:rPr>
                <w:rFonts w:ascii="Times New Roman" w:hAnsi="Times New Roman"/>
              </w:rPr>
              <w:t>公众成员</w:t>
            </w:r>
          </w:p>
        </w:tc>
      </w:tr>
      <w:tr w14:paraId="7D7ED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15352FC3">
            <w:pPr>
              <w:pStyle w:val="107"/>
              <w:spacing w:line="240" w:lineRule="auto"/>
              <w:rPr>
                <w:rFonts w:ascii="Times New Roman" w:hAnsi="Times New Roman"/>
              </w:rPr>
            </w:pPr>
          </w:p>
        </w:tc>
        <w:tc>
          <w:tcPr>
            <w:tcW w:w="0" w:type="auto"/>
            <w:vMerge w:val="restart"/>
            <w:tcBorders>
              <w:left w:val="single" w:color="auto" w:sz="4" w:space="0"/>
              <w:right w:val="single" w:color="auto" w:sz="4" w:space="0"/>
            </w:tcBorders>
            <w:vAlign w:val="center"/>
          </w:tcPr>
          <w:p w14:paraId="3475FBF2">
            <w:pPr>
              <w:pStyle w:val="107"/>
              <w:spacing w:line="240" w:lineRule="auto"/>
              <w:rPr>
                <w:rFonts w:ascii="Times New Roman" w:hAnsi="Times New Roman"/>
              </w:rPr>
            </w:pPr>
            <w:r>
              <w:rPr>
                <w:rFonts w:ascii="Times New Roman" w:hAnsi="Times New Roman"/>
              </w:rPr>
              <w:t>建筑内</w:t>
            </w:r>
          </w:p>
        </w:tc>
        <w:tc>
          <w:tcPr>
            <w:tcW w:w="0" w:type="auto"/>
            <w:tcBorders>
              <w:left w:val="single" w:color="auto" w:sz="4" w:space="0"/>
              <w:right w:val="single" w:color="auto" w:sz="4" w:space="0"/>
            </w:tcBorders>
            <w:vAlign w:val="center"/>
          </w:tcPr>
          <w:p w14:paraId="2D4F3DEB">
            <w:pPr>
              <w:pStyle w:val="107"/>
              <w:spacing w:line="240" w:lineRule="auto"/>
              <w:rPr>
                <w:rFonts w:ascii="Times New Roman" w:hAnsi="Times New Roman"/>
              </w:rPr>
            </w:pPr>
            <w:r>
              <w:rPr>
                <w:rFonts w:ascii="Times New Roman" w:hAnsi="Times New Roman"/>
              </w:rPr>
              <w:t>3</w:t>
            </w:r>
          </w:p>
        </w:tc>
        <w:tc>
          <w:tcPr>
            <w:tcW w:w="708" w:type="dxa"/>
            <w:tcBorders>
              <w:top w:val="single" w:color="auto" w:sz="4" w:space="0"/>
              <w:left w:val="single" w:color="auto" w:sz="4" w:space="0"/>
              <w:bottom w:val="single" w:color="auto" w:sz="4" w:space="0"/>
              <w:right w:val="single" w:color="auto" w:sz="4" w:space="0"/>
            </w:tcBorders>
            <w:vAlign w:val="center"/>
          </w:tcPr>
          <w:p w14:paraId="54073364">
            <w:pPr>
              <w:pStyle w:val="107"/>
              <w:spacing w:line="240" w:lineRule="auto"/>
              <w:rPr>
                <w:rFonts w:ascii="Times New Roman" w:hAnsi="Times New Roman"/>
              </w:rPr>
            </w:pPr>
            <w:r>
              <w:rPr>
                <w:rFonts w:ascii="Times New Roman" w:hAnsi="Times New Roman"/>
              </w:rPr>
              <w:t>南侧</w:t>
            </w:r>
          </w:p>
        </w:tc>
        <w:tc>
          <w:tcPr>
            <w:tcW w:w="692" w:type="dxa"/>
            <w:tcBorders>
              <w:top w:val="single" w:color="auto" w:sz="4" w:space="0"/>
              <w:left w:val="single" w:color="auto" w:sz="4" w:space="0"/>
              <w:bottom w:val="single" w:color="auto" w:sz="4" w:space="0"/>
              <w:right w:val="single" w:color="auto" w:sz="4" w:space="0"/>
            </w:tcBorders>
            <w:vAlign w:val="center"/>
          </w:tcPr>
          <w:p w14:paraId="334B670F">
            <w:pPr>
              <w:pStyle w:val="107"/>
              <w:spacing w:line="240" w:lineRule="auto"/>
              <w:rPr>
                <w:rFonts w:ascii="Times New Roman" w:hAnsi="Times New Roman"/>
              </w:rPr>
            </w:pPr>
            <w:r>
              <w:rPr>
                <w:rFonts w:ascii="Times New Roman" w:hAnsi="Times New Roman"/>
              </w:rPr>
              <w:t>0</w:t>
            </w:r>
          </w:p>
        </w:tc>
        <w:tc>
          <w:tcPr>
            <w:tcW w:w="1239" w:type="dxa"/>
            <w:tcBorders>
              <w:top w:val="single" w:color="auto" w:sz="4" w:space="0"/>
              <w:left w:val="single" w:color="auto" w:sz="4" w:space="0"/>
              <w:bottom w:val="single" w:color="auto" w:sz="4" w:space="0"/>
              <w:right w:val="single" w:color="auto" w:sz="4" w:space="0"/>
            </w:tcBorders>
            <w:vAlign w:val="center"/>
          </w:tcPr>
          <w:p w14:paraId="762D0C33">
            <w:pPr>
              <w:pStyle w:val="107"/>
              <w:spacing w:line="240" w:lineRule="auto"/>
              <w:rPr>
                <w:rFonts w:ascii="Times New Roman" w:hAnsi="Times New Roman"/>
              </w:rPr>
            </w:pPr>
            <w:r>
              <w:rPr>
                <w:rFonts w:ascii="Times New Roman" w:hAnsi="Times New Roman"/>
              </w:rPr>
              <w:t>CT控制室内</w:t>
            </w:r>
          </w:p>
        </w:tc>
        <w:tc>
          <w:tcPr>
            <w:tcW w:w="2059" w:type="dxa"/>
            <w:tcBorders>
              <w:top w:val="single" w:color="auto" w:sz="4" w:space="0"/>
              <w:left w:val="single" w:color="auto" w:sz="4" w:space="0"/>
              <w:bottom w:val="single" w:color="auto" w:sz="4" w:space="0"/>
              <w:right w:val="single" w:color="auto" w:sz="4" w:space="0"/>
            </w:tcBorders>
            <w:vAlign w:val="center"/>
          </w:tcPr>
          <w:p w14:paraId="393A0048">
            <w:pPr>
              <w:pStyle w:val="107"/>
              <w:spacing w:line="240" w:lineRule="auto"/>
              <w:rPr>
                <w:rFonts w:ascii="Times New Roman" w:hAnsi="Times New Roman"/>
              </w:rPr>
            </w:pPr>
            <w:r>
              <w:rPr>
                <w:rFonts w:ascii="Times New Roman" w:hAnsi="Times New Roman"/>
              </w:rPr>
              <w:t>本项目辐射工作人员</w:t>
            </w:r>
          </w:p>
        </w:tc>
        <w:tc>
          <w:tcPr>
            <w:tcW w:w="1086" w:type="dxa"/>
            <w:tcBorders>
              <w:top w:val="single" w:color="auto" w:sz="4" w:space="0"/>
              <w:left w:val="single" w:color="auto" w:sz="4" w:space="0"/>
              <w:bottom w:val="single" w:color="auto" w:sz="4" w:space="0"/>
              <w:right w:val="single" w:color="auto" w:sz="4" w:space="0"/>
            </w:tcBorders>
            <w:vAlign w:val="center"/>
          </w:tcPr>
          <w:p w14:paraId="01299876">
            <w:pPr>
              <w:pStyle w:val="107"/>
              <w:spacing w:line="240" w:lineRule="auto"/>
              <w:rPr>
                <w:rFonts w:ascii="Times New Roman" w:hAnsi="Times New Roman"/>
              </w:rPr>
            </w:pPr>
            <w:r>
              <w:rPr>
                <w:rFonts w:ascii="Times New Roman" w:hAnsi="Times New Roman"/>
              </w:rPr>
              <w:t>5</w:t>
            </w:r>
          </w:p>
        </w:tc>
        <w:tc>
          <w:tcPr>
            <w:tcW w:w="892" w:type="dxa"/>
            <w:tcBorders>
              <w:top w:val="single" w:color="auto" w:sz="4" w:space="0"/>
              <w:left w:val="single" w:color="auto" w:sz="4" w:space="0"/>
              <w:bottom w:val="single" w:color="auto" w:sz="4" w:space="0"/>
              <w:right w:val="single" w:color="auto" w:sz="4" w:space="0"/>
            </w:tcBorders>
            <w:vAlign w:val="center"/>
          </w:tcPr>
          <w:p w14:paraId="33CA933A">
            <w:pPr>
              <w:pStyle w:val="107"/>
              <w:spacing w:line="240" w:lineRule="auto"/>
              <w:rPr>
                <w:rFonts w:ascii="Times New Roman" w:hAnsi="Times New Roman"/>
              </w:rPr>
            </w:pPr>
            <w:r>
              <w:rPr>
                <w:rFonts w:ascii="Times New Roman" w:hAnsi="Times New Roman"/>
              </w:rPr>
              <w:t>辐射工作人员</w:t>
            </w:r>
          </w:p>
        </w:tc>
      </w:tr>
      <w:tr w14:paraId="04903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076173DC">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40A6783E">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4D5FBAA3">
            <w:pPr>
              <w:pStyle w:val="107"/>
              <w:spacing w:line="240" w:lineRule="auto"/>
              <w:rPr>
                <w:rFonts w:ascii="Times New Roman" w:hAnsi="Times New Roman"/>
              </w:rPr>
            </w:pPr>
            <w:r>
              <w:rPr>
                <w:rFonts w:ascii="Times New Roman" w:hAnsi="Times New Roman"/>
              </w:rPr>
              <w:t>4</w:t>
            </w:r>
          </w:p>
        </w:tc>
        <w:tc>
          <w:tcPr>
            <w:tcW w:w="708" w:type="dxa"/>
            <w:tcBorders>
              <w:top w:val="single" w:color="auto" w:sz="4" w:space="0"/>
              <w:left w:val="single" w:color="auto" w:sz="4" w:space="0"/>
              <w:bottom w:val="single" w:color="auto" w:sz="4" w:space="0"/>
              <w:right w:val="single" w:color="auto" w:sz="4" w:space="0"/>
            </w:tcBorders>
            <w:vAlign w:val="center"/>
          </w:tcPr>
          <w:p w14:paraId="6C87F06E">
            <w:pPr>
              <w:pStyle w:val="107"/>
              <w:spacing w:line="240" w:lineRule="auto"/>
              <w:rPr>
                <w:rFonts w:ascii="Times New Roman" w:hAnsi="Times New Roman"/>
              </w:rPr>
            </w:pPr>
            <w:r>
              <w:rPr>
                <w:rFonts w:ascii="Times New Roman" w:hAnsi="Times New Roman"/>
              </w:rPr>
              <w:t>东侧</w:t>
            </w:r>
          </w:p>
        </w:tc>
        <w:tc>
          <w:tcPr>
            <w:tcW w:w="692" w:type="dxa"/>
            <w:tcBorders>
              <w:top w:val="single" w:color="auto" w:sz="4" w:space="0"/>
              <w:left w:val="single" w:color="auto" w:sz="4" w:space="0"/>
              <w:bottom w:val="single" w:color="auto" w:sz="4" w:space="0"/>
              <w:right w:val="single" w:color="auto" w:sz="4" w:space="0"/>
            </w:tcBorders>
            <w:vAlign w:val="center"/>
          </w:tcPr>
          <w:p w14:paraId="361F9769">
            <w:pPr>
              <w:pStyle w:val="107"/>
              <w:spacing w:line="240" w:lineRule="auto"/>
              <w:rPr>
                <w:rFonts w:ascii="Times New Roman" w:hAnsi="Times New Roman"/>
              </w:rPr>
            </w:pPr>
            <w:r>
              <w:rPr>
                <w:rFonts w:ascii="Times New Roman" w:hAnsi="Times New Roman"/>
              </w:rPr>
              <w:t>0</w:t>
            </w:r>
          </w:p>
        </w:tc>
        <w:tc>
          <w:tcPr>
            <w:tcW w:w="1239" w:type="dxa"/>
            <w:tcBorders>
              <w:top w:val="single" w:color="auto" w:sz="4" w:space="0"/>
              <w:left w:val="single" w:color="auto" w:sz="4" w:space="0"/>
              <w:bottom w:val="single" w:color="auto" w:sz="4" w:space="0"/>
              <w:right w:val="single" w:color="auto" w:sz="4" w:space="0"/>
            </w:tcBorders>
            <w:vAlign w:val="center"/>
          </w:tcPr>
          <w:p w14:paraId="29F8E7E1">
            <w:pPr>
              <w:pStyle w:val="107"/>
              <w:spacing w:line="240" w:lineRule="auto"/>
              <w:rPr>
                <w:rFonts w:ascii="Times New Roman" w:hAnsi="Times New Roman"/>
              </w:rPr>
            </w:pPr>
            <w:r>
              <w:rPr>
                <w:rFonts w:ascii="Times New Roman" w:hAnsi="Times New Roman"/>
              </w:rPr>
              <w:t>候诊区内</w:t>
            </w:r>
          </w:p>
        </w:tc>
        <w:tc>
          <w:tcPr>
            <w:tcW w:w="2059" w:type="dxa"/>
            <w:tcBorders>
              <w:top w:val="single" w:color="auto" w:sz="4" w:space="0"/>
              <w:left w:val="single" w:color="auto" w:sz="4" w:space="0"/>
              <w:bottom w:val="single" w:color="auto" w:sz="4" w:space="0"/>
              <w:right w:val="single" w:color="auto" w:sz="4" w:space="0"/>
            </w:tcBorders>
            <w:vAlign w:val="center"/>
          </w:tcPr>
          <w:p w14:paraId="4CE4742F">
            <w:pPr>
              <w:pStyle w:val="107"/>
              <w:spacing w:line="240" w:lineRule="auto"/>
              <w:rPr>
                <w:rFonts w:ascii="Times New Roman" w:hAnsi="Times New Roman"/>
              </w:rPr>
            </w:pPr>
            <w:r>
              <w:rPr>
                <w:rFonts w:hint="eastAsia" w:ascii="Times New Roman" w:hAnsi="Times New Roman"/>
              </w:rPr>
              <w:t>医院</w:t>
            </w:r>
            <w:r>
              <w:rPr>
                <w:rFonts w:ascii="Times New Roman" w:hAnsi="Times New Roman"/>
              </w:rPr>
              <w:t>其他医护人员</w:t>
            </w:r>
          </w:p>
        </w:tc>
        <w:tc>
          <w:tcPr>
            <w:tcW w:w="1086" w:type="dxa"/>
            <w:tcBorders>
              <w:top w:val="single" w:color="auto" w:sz="4" w:space="0"/>
              <w:left w:val="single" w:color="auto" w:sz="4" w:space="0"/>
              <w:bottom w:val="single" w:color="auto" w:sz="4" w:space="0"/>
              <w:right w:val="single" w:color="auto" w:sz="4" w:space="0"/>
            </w:tcBorders>
            <w:vAlign w:val="center"/>
          </w:tcPr>
          <w:p w14:paraId="734A19EB">
            <w:pPr>
              <w:pStyle w:val="107"/>
              <w:spacing w:line="240" w:lineRule="auto"/>
              <w:rPr>
                <w:rFonts w:ascii="Times New Roman" w:hAnsi="Times New Roman"/>
              </w:rPr>
            </w:pPr>
            <w:r>
              <w:rPr>
                <w:rFonts w:ascii="Times New Roman" w:hAnsi="Times New Roman"/>
              </w:rPr>
              <w:t>10</w:t>
            </w:r>
          </w:p>
        </w:tc>
        <w:tc>
          <w:tcPr>
            <w:tcW w:w="892" w:type="dxa"/>
            <w:tcBorders>
              <w:top w:val="single" w:color="auto" w:sz="4" w:space="0"/>
              <w:left w:val="single" w:color="auto" w:sz="4" w:space="0"/>
              <w:bottom w:val="single" w:color="auto" w:sz="4" w:space="0"/>
              <w:right w:val="single" w:color="auto" w:sz="4" w:space="0"/>
            </w:tcBorders>
            <w:vAlign w:val="center"/>
          </w:tcPr>
          <w:p w14:paraId="7CD14D52">
            <w:pPr>
              <w:pStyle w:val="107"/>
              <w:spacing w:line="240" w:lineRule="auto"/>
              <w:rPr>
                <w:rFonts w:ascii="Times New Roman" w:hAnsi="Times New Roman"/>
              </w:rPr>
            </w:pPr>
            <w:r>
              <w:rPr>
                <w:rFonts w:ascii="Times New Roman" w:hAnsi="Times New Roman"/>
              </w:rPr>
              <w:t>公众成员</w:t>
            </w:r>
          </w:p>
        </w:tc>
      </w:tr>
      <w:tr w14:paraId="02182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0" w:type="auto"/>
            <w:vMerge w:val="continue"/>
            <w:tcBorders>
              <w:left w:val="single" w:color="auto" w:sz="4" w:space="0"/>
              <w:right w:val="single" w:color="auto" w:sz="4" w:space="0"/>
            </w:tcBorders>
            <w:vAlign w:val="center"/>
          </w:tcPr>
          <w:p w14:paraId="2B223625">
            <w:pPr>
              <w:pStyle w:val="107"/>
              <w:spacing w:line="240" w:lineRule="auto"/>
              <w:rPr>
                <w:rFonts w:ascii="Times New Roman" w:hAnsi="Times New Roman"/>
              </w:rPr>
            </w:pPr>
          </w:p>
        </w:tc>
        <w:tc>
          <w:tcPr>
            <w:tcW w:w="0" w:type="auto"/>
            <w:vMerge w:val="continue"/>
            <w:tcBorders>
              <w:left w:val="single" w:color="auto" w:sz="4" w:space="0"/>
              <w:right w:val="single" w:color="auto" w:sz="4" w:space="0"/>
            </w:tcBorders>
            <w:vAlign w:val="center"/>
          </w:tcPr>
          <w:p w14:paraId="5A83FE42">
            <w:pPr>
              <w:pStyle w:val="107"/>
              <w:spacing w:line="240" w:lineRule="auto"/>
              <w:rPr>
                <w:rFonts w:ascii="Times New Roman" w:hAnsi="Times New Roman"/>
              </w:rPr>
            </w:pPr>
          </w:p>
        </w:tc>
        <w:tc>
          <w:tcPr>
            <w:tcW w:w="0" w:type="auto"/>
            <w:tcBorders>
              <w:left w:val="single" w:color="auto" w:sz="4" w:space="0"/>
              <w:right w:val="single" w:color="auto" w:sz="4" w:space="0"/>
            </w:tcBorders>
            <w:vAlign w:val="center"/>
          </w:tcPr>
          <w:p w14:paraId="14BE1B7F">
            <w:pPr>
              <w:pStyle w:val="107"/>
              <w:spacing w:line="240" w:lineRule="auto"/>
              <w:rPr>
                <w:rFonts w:ascii="Times New Roman" w:hAnsi="Times New Roman"/>
              </w:rPr>
            </w:pPr>
            <w:r>
              <w:rPr>
                <w:rFonts w:ascii="Times New Roman" w:hAnsi="Times New Roman"/>
              </w:rPr>
              <w:t>5</w:t>
            </w:r>
          </w:p>
        </w:tc>
        <w:tc>
          <w:tcPr>
            <w:tcW w:w="708" w:type="dxa"/>
            <w:tcBorders>
              <w:top w:val="single" w:color="auto" w:sz="4" w:space="0"/>
              <w:left w:val="single" w:color="auto" w:sz="4" w:space="0"/>
              <w:bottom w:val="single" w:color="auto" w:sz="4" w:space="0"/>
              <w:right w:val="single" w:color="auto" w:sz="4" w:space="0"/>
            </w:tcBorders>
            <w:vAlign w:val="center"/>
          </w:tcPr>
          <w:p w14:paraId="5C3191BB">
            <w:pPr>
              <w:pStyle w:val="107"/>
              <w:spacing w:line="240" w:lineRule="auto"/>
              <w:rPr>
                <w:rFonts w:ascii="Times New Roman" w:hAnsi="Times New Roman"/>
              </w:rPr>
            </w:pPr>
            <w:r>
              <w:rPr>
                <w:rFonts w:ascii="Times New Roman" w:hAnsi="Times New Roman"/>
              </w:rPr>
              <w:t>东侧</w:t>
            </w:r>
          </w:p>
        </w:tc>
        <w:tc>
          <w:tcPr>
            <w:tcW w:w="692" w:type="dxa"/>
            <w:tcBorders>
              <w:top w:val="single" w:color="auto" w:sz="4" w:space="0"/>
              <w:left w:val="single" w:color="auto" w:sz="4" w:space="0"/>
              <w:bottom w:val="single" w:color="auto" w:sz="4" w:space="0"/>
              <w:right w:val="single" w:color="auto" w:sz="4" w:space="0"/>
            </w:tcBorders>
            <w:vAlign w:val="center"/>
          </w:tcPr>
          <w:p w14:paraId="74B08E6B">
            <w:pPr>
              <w:pStyle w:val="107"/>
              <w:spacing w:line="240" w:lineRule="auto"/>
              <w:rPr>
                <w:rFonts w:ascii="Times New Roman" w:hAnsi="Times New Roman"/>
              </w:rPr>
            </w:pPr>
            <w:r>
              <w:rPr>
                <w:rFonts w:ascii="Times New Roman" w:hAnsi="Times New Roman"/>
              </w:rPr>
              <w:t>0</w:t>
            </w:r>
          </w:p>
        </w:tc>
        <w:tc>
          <w:tcPr>
            <w:tcW w:w="1239" w:type="dxa"/>
            <w:tcBorders>
              <w:top w:val="single" w:color="auto" w:sz="4" w:space="0"/>
              <w:left w:val="single" w:color="auto" w:sz="4" w:space="0"/>
              <w:bottom w:val="single" w:color="auto" w:sz="4" w:space="0"/>
              <w:right w:val="single" w:color="auto" w:sz="4" w:space="0"/>
            </w:tcBorders>
            <w:vAlign w:val="center"/>
          </w:tcPr>
          <w:p w14:paraId="2C285BEE">
            <w:pPr>
              <w:pStyle w:val="107"/>
              <w:spacing w:line="240" w:lineRule="auto"/>
              <w:rPr>
                <w:rFonts w:ascii="Times New Roman" w:hAnsi="Times New Roman"/>
              </w:rPr>
            </w:pPr>
            <w:r>
              <w:rPr>
                <w:rFonts w:ascii="Times New Roman" w:hAnsi="Times New Roman"/>
              </w:rPr>
              <w:t>候诊区内</w:t>
            </w:r>
          </w:p>
        </w:tc>
        <w:tc>
          <w:tcPr>
            <w:tcW w:w="2059" w:type="dxa"/>
            <w:tcBorders>
              <w:top w:val="single" w:color="auto" w:sz="4" w:space="0"/>
              <w:left w:val="single" w:color="auto" w:sz="4" w:space="0"/>
              <w:bottom w:val="single" w:color="auto" w:sz="4" w:space="0"/>
              <w:right w:val="single" w:color="auto" w:sz="4" w:space="0"/>
            </w:tcBorders>
            <w:vAlign w:val="center"/>
          </w:tcPr>
          <w:p w14:paraId="235B8FEE">
            <w:pPr>
              <w:pStyle w:val="107"/>
              <w:spacing w:line="240" w:lineRule="auto"/>
              <w:rPr>
                <w:rFonts w:ascii="Times New Roman" w:hAnsi="Times New Roman"/>
              </w:rPr>
            </w:pPr>
            <w:r>
              <w:rPr>
                <w:rFonts w:ascii="Times New Roman" w:hAnsi="Times New Roman"/>
              </w:rPr>
              <w:t>患者家属</w:t>
            </w:r>
          </w:p>
        </w:tc>
        <w:tc>
          <w:tcPr>
            <w:tcW w:w="1086" w:type="dxa"/>
            <w:tcBorders>
              <w:top w:val="single" w:color="auto" w:sz="4" w:space="0"/>
              <w:left w:val="single" w:color="auto" w:sz="4" w:space="0"/>
              <w:bottom w:val="single" w:color="auto" w:sz="4" w:space="0"/>
              <w:right w:val="single" w:color="auto" w:sz="4" w:space="0"/>
            </w:tcBorders>
            <w:vAlign w:val="center"/>
          </w:tcPr>
          <w:p w14:paraId="0AAD6878">
            <w:pPr>
              <w:pStyle w:val="107"/>
              <w:spacing w:line="240" w:lineRule="auto"/>
              <w:rPr>
                <w:rFonts w:ascii="Times New Roman" w:hAnsi="Times New Roman"/>
              </w:rPr>
            </w:pPr>
            <w:r>
              <w:rPr>
                <w:rFonts w:ascii="Times New Roman" w:hAnsi="Times New Roman"/>
              </w:rPr>
              <w:t>30</w:t>
            </w:r>
          </w:p>
        </w:tc>
        <w:tc>
          <w:tcPr>
            <w:tcW w:w="892" w:type="dxa"/>
            <w:tcBorders>
              <w:top w:val="single" w:color="auto" w:sz="4" w:space="0"/>
              <w:left w:val="single" w:color="auto" w:sz="4" w:space="0"/>
              <w:bottom w:val="single" w:color="auto" w:sz="4" w:space="0"/>
              <w:right w:val="single" w:color="auto" w:sz="4" w:space="0"/>
            </w:tcBorders>
            <w:vAlign w:val="center"/>
          </w:tcPr>
          <w:p w14:paraId="398D7040">
            <w:pPr>
              <w:pStyle w:val="107"/>
              <w:spacing w:line="240" w:lineRule="auto"/>
              <w:rPr>
                <w:rFonts w:ascii="Times New Roman" w:hAnsi="Times New Roman"/>
              </w:rPr>
            </w:pPr>
            <w:r>
              <w:rPr>
                <w:rFonts w:ascii="Times New Roman" w:hAnsi="Times New Roman"/>
              </w:rPr>
              <w:t>公众成员</w:t>
            </w:r>
          </w:p>
        </w:tc>
      </w:tr>
    </w:tbl>
    <w:p w14:paraId="079BAE1A">
      <w:pPr>
        <w:pStyle w:val="3"/>
        <w:rPr>
          <w:rFonts w:ascii="Times New Roman" w:hAnsi="Times New Roman" w:eastAsia="宋体"/>
          <w:b/>
          <w:bCs w:val="0"/>
          <w:sz w:val="28"/>
          <w:szCs w:val="28"/>
        </w:rPr>
      </w:pPr>
      <w:bookmarkStart w:id="303" w:name="_Toc199954853"/>
      <w:bookmarkStart w:id="304" w:name="_Toc209125198"/>
      <w:r>
        <w:rPr>
          <w:rFonts w:ascii="Times New Roman" w:hAnsi="Times New Roman" w:eastAsia="宋体"/>
          <w:b/>
          <w:bCs w:val="0"/>
          <w:sz w:val="28"/>
          <w:szCs w:val="28"/>
          <w:lang w:eastAsia="zh-CN"/>
        </w:rPr>
        <w:t>安全责任划分</w:t>
      </w:r>
      <w:bookmarkEnd w:id="303"/>
      <w:bookmarkEnd w:id="304"/>
    </w:p>
    <w:p w14:paraId="7A72D104">
      <w:pPr>
        <w:pStyle w:val="8"/>
      </w:pPr>
      <w:r>
        <w:t>本项目质子治疗系统的安装调试和运行期间的维修维护由</w:t>
      </w:r>
      <w:r>
        <w:rPr>
          <w:lang w:eastAsia="zh-CN"/>
        </w:rPr>
        <w:t>设备厂家</w:t>
      </w:r>
      <w:r>
        <w:t>负责。对</w:t>
      </w:r>
      <w:r>
        <w:rPr>
          <w:lang w:eastAsia="zh-CN"/>
        </w:rPr>
        <w:t>设备厂家</w:t>
      </w:r>
      <w:r>
        <w:t>和</w:t>
      </w:r>
      <w:r>
        <w:rPr>
          <w:lang w:eastAsia="zh-CN"/>
        </w:rPr>
        <w:t>中山大学附属第三医院岭南医院</w:t>
      </w:r>
      <w:r>
        <w:t>两方的安全责任划分如下：</w:t>
      </w:r>
    </w:p>
    <w:p w14:paraId="21C981CA">
      <w:pPr>
        <w:pStyle w:val="8"/>
      </w:pPr>
      <w:r>
        <w:t>（1）</w:t>
      </w:r>
      <w:r>
        <w:rPr>
          <w:lang w:eastAsia="zh-CN"/>
        </w:rPr>
        <w:t>设备厂家</w:t>
      </w:r>
      <w:r>
        <w:t>：</w:t>
      </w:r>
      <w:bookmarkStart w:id="305" w:name="_Hlk208927555"/>
      <w:r>
        <w:rPr>
          <w:rFonts w:hint="eastAsia"/>
        </w:rPr>
        <w:t>负责质子治疗系统安装调试以及维保过程中的辐射安全责任；负责安装调试、维保过程中迈胜质子治疗机房检修层、治疗层及设备层清场巡检以及非临床治疗出束；受到医院的监督管理</w:t>
      </w:r>
      <w:bookmarkEnd w:id="305"/>
      <w:r>
        <w:t>。</w:t>
      </w:r>
    </w:p>
    <w:p w14:paraId="25D2F395">
      <w:pPr>
        <w:pStyle w:val="8"/>
      </w:pPr>
      <w:r>
        <w:t>（2）</w:t>
      </w:r>
      <w:r>
        <w:rPr>
          <w:rFonts w:hint="eastAsia"/>
          <w:lang w:eastAsia="zh-CN"/>
        </w:rPr>
        <w:t>中山大学附属第三医院岭南医院</w:t>
      </w:r>
      <w:r>
        <w:t>：</w:t>
      </w:r>
      <w:bookmarkStart w:id="306" w:name="_Hlk208927564"/>
      <w:r>
        <w:rPr>
          <w:rFonts w:hint="eastAsia"/>
          <w:lang w:eastAsia="zh-CN"/>
        </w:rPr>
        <w:t>作为质子治疗系统的所有单位，作为第一责任人，全面负责质子治疗系统运行的安全责任，并对质子治疗系统的调试单位、运维单位履行监管职责。在安装调试阶段，负责提供能够满足质子治疗系统安装、调试要求及我国法规标准要求的辐射工作场所和安全保卫工作；在正式运营阶段，对运行维保过程中的辐射防护和安全保卫负责；负责正常运行时质子治疗机房治疗层的清场巡检以及临床治疗出束；负责质子治疗系统投入临床使用时医院方负责区域和医院医护人员和病人的安全责任；负责质子治疗系统放射性三废处置</w:t>
      </w:r>
      <w:bookmarkEnd w:id="306"/>
      <w:r>
        <w:rPr>
          <w:lang w:eastAsia="zh-CN"/>
        </w:rPr>
        <w:t>。</w:t>
      </w:r>
    </w:p>
    <w:p w14:paraId="4708376C">
      <w:pPr>
        <w:pStyle w:val="15"/>
        <w:jc w:val="both"/>
        <w:sectPr>
          <w:pgSz w:w="11906" w:h="16838"/>
          <w:pgMar w:top="1440" w:right="1800" w:bottom="1440" w:left="1800" w:header="851" w:footer="283" w:gutter="0"/>
          <w:cols w:space="720" w:num="1"/>
          <w:docGrid w:type="lines" w:linePitch="312" w:charSpace="0"/>
        </w:sectPr>
      </w:pPr>
    </w:p>
    <w:p w14:paraId="1E130910">
      <w:pPr>
        <w:pStyle w:val="15"/>
      </w:pPr>
      <w:r>
        <w:drawing>
          <wp:inline distT="0" distB="0" distL="0" distR="0">
            <wp:extent cx="6023610" cy="5170170"/>
            <wp:effectExtent l="0" t="0" r="0" b="0"/>
            <wp:docPr id="11316492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49215" name="图片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6023610" cy="5170170"/>
                    </a:xfrm>
                    <a:prstGeom prst="rect">
                      <a:avLst/>
                    </a:prstGeom>
                    <a:noFill/>
                  </pic:spPr>
                </pic:pic>
              </a:graphicData>
            </a:graphic>
          </wp:inline>
        </w:drawing>
      </w:r>
    </w:p>
    <w:p w14:paraId="3CB0BBA0">
      <w:pPr>
        <w:pStyle w:val="15"/>
      </w:pPr>
      <w:bookmarkStart w:id="307" w:name="_Ref187679910"/>
      <w:r>
        <w:t xml:space="preserve">图 </w:t>
      </w:r>
      <w:r>
        <w:fldChar w:fldCharType="begin"/>
      </w:r>
      <w:r>
        <w:instrText xml:space="preserve"> STYLEREF 1 \s </w:instrText>
      </w:r>
      <w:r>
        <w:fldChar w:fldCharType="separate"/>
      </w:r>
      <w:r>
        <w:t>1</w:t>
      </w:r>
      <w:r>
        <w:fldChar w:fldCharType="end"/>
      </w:r>
      <w:r>
        <w:noBreakHyphen/>
      </w:r>
      <w:r>
        <w:fldChar w:fldCharType="begin"/>
      </w:r>
      <w:r>
        <w:instrText xml:space="preserve"> SEQ 图 \* ARABIC \s 1 </w:instrText>
      </w:r>
      <w:r>
        <w:fldChar w:fldCharType="separate"/>
      </w:r>
      <w:r>
        <w:t>4</w:t>
      </w:r>
      <w:r>
        <w:fldChar w:fldCharType="end"/>
      </w:r>
      <w:bookmarkEnd w:id="307"/>
      <w:r>
        <w:t xml:space="preserve"> 电离辐射评价范围示意图</w:t>
      </w:r>
    </w:p>
    <w:p w14:paraId="239987BB">
      <w:pPr>
        <w:tabs>
          <w:tab w:val="left" w:pos="1003"/>
        </w:tabs>
        <w:rPr>
          <w:lang w:val="zh-CN" w:eastAsia="zh-CN"/>
        </w:rPr>
        <w:sectPr>
          <w:pgSz w:w="16838" w:h="11906" w:orient="landscape"/>
          <w:pgMar w:top="1440" w:right="1800" w:bottom="1440" w:left="1800" w:header="851" w:footer="283" w:gutter="0"/>
          <w:cols w:space="720" w:num="1"/>
          <w:docGrid w:type="lines" w:linePitch="312" w:charSpace="0"/>
        </w:sectPr>
      </w:pPr>
    </w:p>
    <w:p w14:paraId="202A8651">
      <w:pPr>
        <w:pStyle w:val="2"/>
        <w:rPr>
          <w:rFonts w:eastAsia="宋体"/>
        </w:rPr>
      </w:pPr>
      <w:bookmarkStart w:id="308" w:name="_Toc71554461"/>
      <w:bookmarkEnd w:id="308"/>
      <w:bookmarkStart w:id="309" w:name="_Toc71555017"/>
      <w:bookmarkEnd w:id="309"/>
      <w:bookmarkStart w:id="310" w:name="_Toc71555143"/>
      <w:bookmarkEnd w:id="310"/>
      <w:bookmarkStart w:id="311" w:name="_Toc71554590"/>
      <w:bookmarkEnd w:id="311"/>
      <w:bookmarkStart w:id="312" w:name="_Toc71554460"/>
      <w:bookmarkEnd w:id="312"/>
      <w:bookmarkStart w:id="313" w:name="_Toc71555146"/>
      <w:bookmarkEnd w:id="313"/>
      <w:bookmarkStart w:id="314" w:name="_Toc71554589"/>
      <w:bookmarkEnd w:id="314"/>
      <w:bookmarkStart w:id="315" w:name="_Toc71555015"/>
      <w:bookmarkEnd w:id="315"/>
      <w:bookmarkStart w:id="316" w:name="_Toc71554587"/>
      <w:bookmarkEnd w:id="316"/>
      <w:bookmarkStart w:id="317" w:name="_Toc71554588"/>
      <w:bookmarkEnd w:id="317"/>
      <w:bookmarkStart w:id="318" w:name="_Toc71555144"/>
      <w:bookmarkEnd w:id="318"/>
      <w:bookmarkStart w:id="319" w:name="_Toc71554459"/>
      <w:bookmarkEnd w:id="319"/>
      <w:bookmarkStart w:id="320" w:name="_Toc71555145"/>
      <w:bookmarkEnd w:id="320"/>
      <w:bookmarkStart w:id="321" w:name="_Toc71555016"/>
      <w:bookmarkEnd w:id="321"/>
      <w:bookmarkStart w:id="322" w:name="_Toc372036431"/>
      <w:bookmarkStart w:id="323" w:name="_Toc34738567"/>
      <w:bookmarkStart w:id="324" w:name="_Toc363461153"/>
      <w:bookmarkStart w:id="325" w:name="_Toc426980379"/>
      <w:bookmarkStart w:id="326" w:name="_Toc71554591"/>
      <w:bookmarkStart w:id="327" w:name="_Toc209125199"/>
      <w:bookmarkStart w:id="328" w:name="_Toc330813046"/>
      <w:bookmarkStart w:id="329" w:name="_Toc304202142"/>
      <w:r>
        <w:rPr>
          <w:rFonts w:eastAsia="宋体"/>
        </w:rPr>
        <w:t>自然环境与社会环境状况</w:t>
      </w:r>
      <w:bookmarkEnd w:id="322"/>
      <w:bookmarkEnd w:id="323"/>
      <w:bookmarkEnd w:id="324"/>
      <w:bookmarkEnd w:id="325"/>
      <w:bookmarkEnd w:id="326"/>
      <w:bookmarkEnd w:id="327"/>
    </w:p>
    <w:p w14:paraId="1A6F9E3B">
      <w:pPr>
        <w:pStyle w:val="3"/>
        <w:rPr>
          <w:rFonts w:ascii="Times New Roman" w:hAnsi="Times New Roman" w:eastAsia="宋体"/>
        </w:rPr>
      </w:pPr>
      <w:bookmarkStart w:id="330" w:name="_Toc360693496"/>
      <w:bookmarkStart w:id="331" w:name="_Toc361128420"/>
      <w:bookmarkStart w:id="332" w:name="_Toc372036432"/>
      <w:bookmarkStart w:id="333" w:name="_Toc363461154"/>
      <w:r>
        <w:rPr>
          <w:rFonts w:ascii="Times New Roman" w:hAnsi="Times New Roman" w:eastAsia="宋体"/>
        </w:rPr>
        <w:t xml:space="preserve"> </w:t>
      </w:r>
      <w:bookmarkStart w:id="334" w:name="_Toc34738568"/>
      <w:bookmarkStart w:id="335" w:name="_Toc209125200"/>
      <w:bookmarkStart w:id="336" w:name="_Toc71554592"/>
      <w:bookmarkStart w:id="337" w:name="_Toc426980380"/>
      <w:r>
        <w:rPr>
          <w:rFonts w:ascii="Times New Roman" w:hAnsi="Times New Roman" w:eastAsia="宋体"/>
        </w:rPr>
        <w:t>地理位置</w:t>
      </w:r>
      <w:bookmarkEnd w:id="328"/>
      <w:bookmarkEnd w:id="330"/>
      <w:bookmarkEnd w:id="331"/>
      <w:bookmarkEnd w:id="332"/>
      <w:bookmarkEnd w:id="333"/>
      <w:bookmarkEnd w:id="334"/>
      <w:bookmarkEnd w:id="335"/>
      <w:bookmarkEnd w:id="336"/>
      <w:bookmarkEnd w:id="337"/>
    </w:p>
    <w:p w14:paraId="335630A6">
      <w:pPr>
        <w:pStyle w:val="8"/>
        <w:rPr>
          <w:lang w:eastAsia="zh-CN"/>
        </w:rPr>
      </w:pPr>
      <w:r>
        <w:rPr>
          <w:color w:val="auto"/>
        </w:rPr>
        <w:t>广州市地处中国大陆南方，广东省的中南部，珠江三角洲的北缘，接近珠江流域下游入海口。地理坐标介于东经112°57′~114°3′、北纬22°26′~23°56′之间，总面积7434.4平方千米。东连惠州市博罗、龙门两县，西邻佛山市的三水、南海和顺德区，北靠清远市的市区和佛冈县及韶关市的新丰县，南接东莞市和中山市，与香港、澳门特别行政区隔海相望</w:t>
      </w:r>
      <w:r>
        <w:rPr>
          <w:lang w:eastAsia="zh-CN"/>
        </w:rPr>
        <w:t>。</w:t>
      </w:r>
    </w:p>
    <w:p w14:paraId="0C951B03">
      <w:pPr>
        <w:pStyle w:val="3"/>
        <w:rPr>
          <w:rFonts w:ascii="Times New Roman" w:hAnsi="Times New Roman" w:eastAsia="宋体"/>
          <w:szCs w:val="30"/>
        </w:rPr>
      </w:pPr>
      <w:bookmarkStart w:id="338" w:name="_Toc34738569"/>
      <w:bookmarkStart w:id="339" w:name="_Toc71554593"/>
      <w:bookmarkStart w:id="340" w:name="_Toc209125201"/>
      <w:r>
        <w:rPr>
          <w:rFonts w:ascii="Times New Roman" w:hAnsi="Times New Roman" w:eastAsia="宋体"/>
          <w:szCs w:val="30"/>
        </w:rPr>
        <w:t>自然环境状况</w:t>
      </w:r>
      <w:bookmarkEnd w:id="338"/>
      <w:bookmarkEnd w:id="339"/>
      <w:bookmarkEnd w:id="340"/>
    </w:p>
    <w:p w14:paraId="4F39F93D">
      <w:pPr>
        <w:pStyle w:val="4"/>
        <w:rPr>
          <w:rFonts w:eastAsia="宋体"/>
        </w:rPr>
      </w:pPr>
      <w:bookmarkStart w:id="341" w:name="_Toc464041443"/>
      <w:bookmarkStart w:id="342" w:name="_Toc209125202"/>
      <w:bookmarkStart w:id="343" w:name="_Toc71554594"/>
      <w:bookmarkStart w:id="344" w:name="_Toc34738570"/>
      <w:r>
        <w:rPr>
          <w:rFonts w:eastAsia="宋体"/>
        </w:rPr>
        <w:t>地形地貌</w:t>
      </w:r>
      <w:bookmarkEnd w:id="341"/>
      <w:bookmarkEnd w:id="342"/>
      <w:bookmarkEnd w:id="343"/>
      <w:bookmarkEnd w:id="344"/>
    </w:p>
    <w:p w14:paraId="7C4BAD5C">
      <w:pPr>
        <w:pStyle w:val="8"/>
        <w:rPr>
          <w:lang w:eastAsia="zh-CN"/>
        </w:rPr>
      </w:pPr>
      <w:bookmarkStart w:id="345" w:name="_Toc34738571"/>
      <w:bookmarkStart w:id="346" w:name="_Toc71554595"/>
      <w:r>
        <w:t>广州市土地类型多样，适宜性广，地形复杂。地势自东北向西南降低，最高峰为北部从化区与惠州龙门县交界处的天堂顶，海拔1210米；东北部为中低山区；中部为丘陵盆地；南部为沿海冲积平原，是珠江三角洲的组成部分。</w:t>
      </w:r>
    </w:p>
    <w:p w14:paraId="7E46A984">
      <w:pPr>
        <w:pStyle w:val="4"/>
        <w:rPr>
          <w:rFonts w:eastAsia="宋体"/>
        </w:rPr>
      </w:pPr>
      <w:bookmarkStart w:id="347" w:name="_Toc209125203"/>
      <w:r>
        <w:rPr>
          <w:rFonts w:eastAsia="宋体"/>
        </w:rPr>
        <w:t>气候气象</w:t>
      </w:r>
      <w:bookmarkEnd w:id="345"/>
      <w:bookmarkEnd w:id="346"/>
      <w:bookmarkEnd w:id="347"/>
    </w:p>
    <w:p w14:paraId="2CECE60F">
      <w:pPr>
        <w:pStyle w:val="8"/>
      </w:pPr>
      <w:r>
        <w:rPr>
          <w:rFonts w:hint="eastAsia"/>
        </w:rPr>
        <w:t>广州属于南亚热带海洋性季风气候，其地势东北高，西南低，北部和东北部是山区，中部是丘陵、台地，南部是珠江三角洲冲积平原。由于地处低纬度地区及濒临南海，一年内冬夏季风交替影响，具有光能充裕、暖热少寒、雨量充沛等气候特征。 通常2～3月为春季，4～9月为夏季，10～11月为秋季，12月至翌年1月为冬季。</w:t>
      </w:r>
    </w:p>
    <w:p w14:paraId="1A8B4A59">
      <w:pPr>
        <w:pStyle w:val="8"/>
      </w:pPr>
      <w:r>
        <w:rPr>
          <w:rFonts w:hint="eastAsia"/>
        </w:rPr>
        <w:t>广州市终年气温相对较高，年平均温度有22℃。气温年内变化为单峰型，最高出现于7～8月，最低在1月。一年中大部分时间雨量充沛，雨季明显。4～9月为多雨季节，半年降水量一般占年降水量的80％以上，其中最多雨为5～6月，平均月雨量达280-300毫米，常有大</w:t>
      </w:r>
      <w:r>
        <w:rPr>
          <w:rFonts w:hint="eastAsia"/>
          <w:lang w:eastAsia="zh-CN"/>
        </w:rPr>
        <w:t>、</w:t>
      </w:r>
      <w:r>
        <w:rPr>
          <w:rFonts w:hint="eastAsia"/>
        </w:rPr>
        <w:t>暴雨出现；最少雨在11月至翌年1月。10～11月受副热带高压下沉气流影响，多晴朗天气，12月至翌年3月，主要为大陆干冷气团控制，天气相对比较凉爽、干燥</w:t>
      </w:r>
      <w:r>
        <w:t>。</w:t>
      </w:r>
    </w:p>
    <w:p w14:paraId="6CAFEB48">
      <w:pPr>
        <w:pStyle w:val="4"/>
        <w:rPr>
          <w:rFonts w:eastAsia="宋体"/>
        </w:rPr>
      </w:pPr>
      <w:bookmarkStart w:id="348" w:name="_Toc34738573"/>
      <w:bookmarkStart w:id="349" w:name="_Toc71554597"/>
      <w:bookmarkStart w:id="350" w:name="_Toc209125204"/>
      <w:r>
        <w:rPr>
          <w:rFonts w:eastAsia="宋体"/>
        </w:rPr>
        <w:t>水文</w:t>
      </w:r>
      <w:bookmarkEnd w:id="348"/>
      <w:bookmarkEnd w:id="349"/>
      <w:r>
        <w:rPr>
          <w:rFonts w:eastAsia="宋体"/>
          <w:lang w:eastAsia="zh-CN"/>
        </w:rPr>
        <w:t>地质</w:t>
      </w:r>
      <w:bookmarkEnd w:id="350"/>
    </w:p>
    <w:p w14:paraId="44C82FA9">
      <w:pPr>
        <w:pStyle w:val="8"/>
        <w:rPr>
          <w:lang w:eastAsia="zh-CN"/>
        </w:rPr>
      </w:pPr>
      <w:r>
        <w:rPr>
          <w:lang w:eastAsia="zh-CN"/>
        </w:rPr>
        <w:t>广州市境内河流密布，纵横交错。全市水域面积755平方千米，占全市土地面积的10.05%。河道河涌1368条，总长度5542.4千米，集水面积100平方千米以上的河流有22条。主要河流有东江北干流及增江、流溪河、白泥河和珠江广州段等。全市大部分地表径流通过虎门、蕉门和洪奇沥3个出海口入伶仃洋出南海。</w:t>
      </w:r>
    </w:p>
    <w:p w14:paraId="0390A03F">
      <w:pPr>
        <w:pStyle w:val="8"/>
        <w:rPr>
          <w:lang w:eastAsia="zh-CN"/>
        </w:rPr>
      </w:pPr>
      <w:r>
        <w:rPr>
          <w:lang w:eastAsia="zh-CN"/>
        </w:rPr>
        <w:t>广州水文水动力条件复杂。全境地势总体北高南低，入海口分布相对集中，导致排泄不畅，遇暴雨，上游河经常水骤涨成灾，三角洲河网区和沿海河流遇海潮顶托，则泛滥成灾；遇少雨，三角洲及沿海河流水动力不足，河口水流紊乱，流量减少。2023年，全市水库386座，总库容10.55亿立方千米，其中流溪河水库大型水库1宗，黄龙带水库等中型水库16宗，小型水库351宗，主要雨洪调蓄区有东山湖、荔湾湖等12宗，总水面面积约684万平方米，建成雨洪调蓄湿地有大观湿地、海珠湿地等8宗，湿地水面面积约7700万平方米。</w:t>
      </w:r>
    </w:p>
    <w:p w14:paraId="275F05A1">
      <w:pPr>
        <w:pStyle w:val="8"/>
        <w:rPr>
          <w:lang w:eastAsia="zh-CN"/>
        </w:rPr>
      </w:pPr>
      <w:r>
        <w:rPr>
          <w:lang w:eastAsia="zh-CN"/>
        </w:rPr>
        <w:t>广州市处于粤中低山与珠江三角洲之间的过渡地带，地势由东北向西南倾斜，受东西走向的瘦狗岭断裂和北东向的广从断裂控制，形成以北东或北东东向平行岭谷为特征的地貌骨架。总体呈现“七山一水二分田”的特征。</w:t>
      </w:r>
    </w:p>
    <w:p w14:paraId="494DCE14">
      <w:pPr>
        <w:pStyle w:val="8"/>
        <w:rPr>
          <w:lang w:eastAsia="zh-CN"/>
        </w:rPr>
      </w:pPr>
      <w:r>
        <w:rPr>
          <w:lang w:eastAsia="zh-CN"/>
        </w:rPr>
        <w:t>地貌的层状结构明显，由北至南有高—低丘陵、台地、阶地和三角洲平原、滩涂，地貌类型复杂多样。广州市北部和东部以丘陵为主，南部和西部则以平原和台地为主。最高峰为北部从化区与惠州龙门县交界处的天堂顶，海拔1210米。中低山地主要分布在东北部，一般坡度在20°~25°以上，成土母质以花岗岩和砂页岩为主。广州市增城区、从化区、花都区以及市区东部以丘陵地貌为主，主要由砂页岩、花岗岩和变质岩构成。台地主要分布在白云山以西和以南的珠江南北两岸。阶地主要沿沙河、车陂河、文冲和南岗河的中上游分布，相对高度5~8米。平原主要有珠江三角洲平原，流溪河下游冲积的广花平原，番禺和南沙沿海地带的冲积、海积平原等。滩涂主要分布在南沙区南沙、万顷沙、新垦沿海一带。</w:t>
      </w:r>
    </w:p>
    <w:p w14:paraId="267D34D1">
      <w:pPr>
        <w:pStyle w:val="4"/>
        <w:rPr>
          <w:rFonts w:eastAsia="宋体"/>
        </w:rPr>
      </w:pPr>
      <w:bookmarkStart w:id="351" w:name="_Toc199954860"/>
      <w:bookmarkStart w:id="352" w:name="_Toc209125205"/>
      <w:r>
        <w:rPr>
          <w:rFonts w:eastAsia="宋体"/>
          <w:lang w:eastAsia="zh-CN"/>
        </w:rPr>
        <w:t>土壤</w:t>
      </w:r>
      <w:bookmarkEnd w:id="351"/>
      <w:bookmarkEnd w:id="352"/>
    </w:p>
    <w:p w14:paraId="2C5FFDB5">
      <w:pPr>
        <w:pStyle w:val="8"/>
        <w:rPr>
          <w:lang w:eastAsia="zh-CN"/>
        </w:rPr>
      </w:pPr>
      <w:r>
        <w:rPr>
          <w:lang w:eastAsia="zh-CN"/>
        </w:rPr>
        <w:t>广州市主要土壤类型包括红壤、黄壤、酸性土壤和盐碱土等，土层深厚，土地肥沃。红壤主要分布于北部山区，其形成受地质构造和气候条件影响较大，具有较高的肥力和适宜的农业生产潜力，适宜种植水果、经济林或牧草。黄壤分布于珠江河谷地带，土壤酸性较低，适宜种植水稻等作物。酸性土壤主要分布于南部山区，受气候和植被覆盖的影响，土壤pH值较低，其pH值一般在4.5至7.0之间。盐碱土主要分布于珠江口沿海地区，由于潮湿的环境和海水入侵，土壤中盐碱含量较高。广州市土壤肥力较高，土壤水分充足，尤其是红壤区域，红壤具有丰富的有机质和养分，适宜农作物生长。</w:t>
      </w:r>
    </w:p>
    <w:p w14:paraId="7994E30A">
      <w:pPr>
        <w:pStyle w:val="4"/>
        <w:rPr>
          <w:rFonts w:eastAsia="宋体"/>
        </w:rPr>
      </w:pPr>
      <w:bookmarkStart w:id="353" w:name="_Toc209125206"/>
      <w:r>
        <w:rPr>
          <w:rFonts w:eastAsia="宋体"/>
          <w:lang w:eastAsia="zh-CN"/>
        </w:rPr>
        <w:t>生态环境</w:t>
      </w:r>
      <w:bookmarkEnd w:id="353"/>
    </w:p>
    <w:p w14:paraId="5FD6F21D">
      <w:pPr>
        <w:pStyle w:val="8"/>
        <w:rPr>
          <w:color w:val="auto"/>
        </w:rPr>
      </w:pPr>
      <w:r>
        <w:rPr>
          <w:color w:val="auto"/>
        </w:rPr>
        <w:t>根据广州市人民政府资料：广州市的自然条件为多种动物栖息繁衍和植物生长提供良好的生态环境。生物种类繁多，生长快速。地带性植被为南亚热带季风常绿阔叶林，但天然林极少，山地丘陵的森林都是次生林和人工林。栽培作物具有热带向亚热带过渡的鲜明特征，是全国果树资源最丰富的地区之一，包括热带、亚热带和温带三大类、47科、86属、140种和变种，共500多个品种（其中荔枝有约70个品种），是荔枝、龙眼、黄皮、乌（白）榄等起源和类型形成的中心地带。蔬菜以优质、多品种著称，有15类、127种、370多个品种。花卉包括鲜切花类（鲜切花、鲜切叶、鲜切枝），盆栽植物类（盆栽类、盆景、花坛植物），观赏苗木，食用与药用花卉，工业及其他用途花卉，草坪，种苗七大类。粮食、经济作物、畜禽、水产和野生动物种类繁多，不乏名优特品种。其中，获全国农产品地理标志的品种有花都炭步槟榔香芋、大埔乌龙茶，获广东省地理标志产品有增城丝苗米、增城“挂绿”荔枝、新垦莲藕、增城迟菜心、萝岗糯米糍、萝岗甜橙、派潭凉粉草、钱岗糯米糍、庙南粉葛、从化荔枝蜜等。野生动物资源包括兽类、鸟类、爬行类、两栖类、鱼类等类型，其中列入国家保护的有穿山甲、水鹿、大灵猫、东方白鹳、三线闭壳龟、大壁虎、虎纹蛙等。</w:t>
      </w:r>
    </w:p>
    <w:p w14:paraId="54132990">
      <w:pPr>
        <w:pStyle w:val="4"/>
        <w:rPr>
          <w:rFonts w:eastAsia="宋体"/>
        </w:rPr>
      </w:pPr>
      <w:bookmarkStart w:id="354" w:name="_Toc209125207"/>
      <w:r>
        <w:rPr>
          <w:rFonts w:eastAsia="宋体"/>
          <w:lang w:eastAsia="zh-CN"/>
        </w:rPr>
        <w:t>矿产资源</w:t>
      </w:r>
      <w:bookmarkEnd w:id="354"/>
    </w:p>
    <w:p w14:paraId="30406AA7">
      <w:pPr>
        <w:pStyle w:val="8"/>
        <w:rPr>
          <w:color w:val="auto"/>
        </w:rPr>
      </w:pPr>
      <w:r>
        <w:rPr>
          <w:rFonts w:hint="eastAsia"/>
          <w:color w:val="auto"/>
        </w:rPr>
        <w:t>根据《广州市矿产资源总体规划（2021—2025年）》，广州市目前已发现矿产47种（含亚种），矿产地820处；已查明资源储量的矿产30种，矿产地73处，其中大型矿区12处、中型矿区20处，小型矿区41处。主要矿产有建筑用花岗岩、水泥用灰岩、硝盐矿、煤、矿泉水和地下热水等。</w:t>
      </w:r>
    </w:p>
    <w:p w14:paraId="532AA809">
      <w:pPr>
        <w:pStyle w:val="8"/>
        <w:rPr>
          <w:lang w:eastAsia="zh-CN"/>
        </w:rPr>
      </w:pPr>
      <w:r>
        <w:rPr>
          <w:rFonts w:hint="eastAsia"/>
          <w:color w:val="auto"/>
        </w:rPr>
        <w:t>金属矿产呈零星分布，规模较小，品位不稳定。建筑用花岗岩主要分布于从化区与增城区，矿石质量好、强度大，为优质建筑石料。水泥用灰岩分布于花都区赤坭镇、炭步镇，增城区派潭镇，从化区鳌头镇、吕田镇等地，矿石质量较好。矿泉水分布在白云区、天河区、黄埔区、番禺区及从化区，属偏硅酸低矿化度矿泉水，水质优良，具有较好的开发潜力。地下热水资源集中分布在从化温泉至良口地区和从化灌村至增城高滩地区，温度为中低温型，地热田热能规模均为小型</w:t>
      </w:r>
      <w:r>
        <w:rPr>
          <w:color w:val="auto"/>
        </w:rPr>
        <w:t>。</w:t>
      </w:r>
    </w:p>
    <w:p w14:paraId="5E603D18">
      <w:pPr>
        <w:pStyle w:val="3"/>
        <w:rPr>
          <w:rFonts w:ascii="Times New Roman" w:hAnsi="Times New Roman" w:eastAsia="宋体"/>
          <w:szCs w:val="30"/>
        </w:rPr>
      </w:pPr>
      <w:bookmarkStart w:id="355" w:name="_Toc464041448"/>
      <w:bookmarkStart w:id="356" w:name="_Toc34738575"/>
      <w:bookmarkStart w:id="357" w:name="_Toc71554599"/>
      <w:bookmarkStart w:id="358" w:name="_Toc209125208"/>
      <w:r>
        <w:rPr>
          <w:rFonts w:ascii="Times New Roman" w:hAnsi="Times New Roman" w:eastAsia="宋体"/>
          <w:szCs w:val="30"/>
        </w:rPr>
        <w:t>社会环境概况</w:t>
      </w:r>
      <w:bookmarkEnd w:id="355"/>
      <w:bookmarkEnd w:id="356"/>
      <w:bookmarkEnd w:id="357"/>
      <w:bookmarkEnd w:id="358"/>
    </w:p>
    <w:p w14:paraId="268626F9">
      <w:pPr>
        <w:pStyle w:val="4"/>
        <w:rPr>
          <w:rFonts w:eastAsia="宋体"/>
        </w:rPr>
      </w:pPr>
      <w:bookmarkStart w:id="359" w:name="_Toc209125209"/>
      <w:bookmarkStart w:id="360" w:name="_Toc71554603"/>
      <w:bookmarkStart w:id="361" w:name="_Toc34738580"/>
      <w:bookmarkStart w:id="362" w:name="_Toc464041452"/>
      <w:r>
        <w:rPr>
          <w:rFonts w:eastAsia="宋体"/>
          <w:lang w:eastAsia="zh-CN"/>
        </w:rPr>
        <w:t>社会经济状况</w:t>
      </w:r>
      <w:bookmarkEnd w:id="359"/>
    </w:p>
    <w:p w14:paraId="0391DE3A">
      <w:pPr>
        <w:pStyle w:val="8"/>
        <w:rPr>
          <w:lang w:eastAsia="zh-CN"/>
        </w:rPr>
      </w:pPr>
      <w:r>
        <w:t>2024年，广州市实现地区生产总值（初步核算数）31032.50亿元，按可比价格计算，比上年（下同）增长2.1%。其中，第一产业增加值334.47亿元，增长1.0%；第二产业增加值7839.45亿元，增长0.7%；第三产业增加值22858.58亿元，增长2.6%。三次产业结构为1.08：25.26：73.66。第一、第二、第三产业对经济增长的贡献率分别为0.5%、8.1%和91.4%。人均地区生产总值达164171元（按年平均汇率折算为23052美元），增长1.4%</w:t>
      </w:r>
      <w:r>
        <w:rPr>
          <w:lang w:eastAsia="zh-CN"/>
        </w:rPr>
        <w:t>。</w:t>
      </w:r>
    </w:p>
    <w:p w14:paraId="0E06FA4A">
      <w:pPr>
        <w:pStyle w:val="4"/>
        <w:rPr>
          <w:rFonts w:eastAsia="宋体"/>
        </w:rPr>
      </w:pPr>
      <w:bookmarkStart w:id="363" w:name="_Toc209125210"/>
      <w:r>
        <w:rPr>
          <w:rFonts w:eastAsia="宋体"/>
          <w:lang w:eastAsia="zh-CN"/>
        </w:rPr>
        <w:t>人口</w:t>
      </w:r>
      <w:bookmarkEnd w:id="363"/>
    </w:p>
    <w:p w14:paraId="3CBCAA98">
      <w:pPr>
        <w:pStyle w:val="8"/>
        <w:rPr>
          <w:lang w:eastAsia="zh-CN"/>
        </w:rPr>
      </w:pPr>
      <w:r>
        <w:rPr>
          <w:lang w:eastAsia="zh-CN"/>
        </w:rPr>
        <w:t>2024年末，广州常住人口1897.8万人，城镇化率为87.24%。年末户籍人口1075.02万人，城镇化率为83.31%。全年户籍出生人口11.43万人，出生率10.72‰；死亡人口5.48万人，死亡率5.14‰；自然增长人口5.95万人，自然增长率5.58‰。户籍迁入人口16.52万人，迁出人口4.05万人，机械增长人口12.47万人。</w:t>
      </w:r>
    </w:p>
    <w:p w14:paraId="2CE96E86">
      <w:pPr>
        <w:pStyle w:val="4"/>
        <w:rPr>
          <w:rFonts w:eastAsia="宋体"/>
        </w:rPr>
      </w:pPr>
      <w:bookmarkStart w:id="364" w:name="_Toc209125211"/>
      <w:r>
        <w:rPr>
          <w:rFonts w:eastAsia="宋体"/>
          <w:lang w:eastAsia="zh-CN"/>
        </w:rPr>
        <w:t>教育</w:t>
      </w:r>
      <w:bookmarkEnd w:id="364"/>
    </w:p>
    <w:p w14:paraId="1241D456">
      <w:pPr>
        <w:pStyle w:val="8"/>
        <w:rPr>
          <w:lang w:eastAsia="zh-CN"/>
        </w:rPr>
      </w:pPr>
      <w:r>
        <w:rPr>
          <w:lang w:eastAsia="zh-CN"/>
        </w:rPr>
        <w:t>2024年广州市全年研究生教育招生6.17万人，在学研究生18.32万人，毕业生4.93万人。普通（职业）本专科招生47.44万人，在校生149.80万人，毕业生41.06万人。技工学校招生9.58万人，在校生27.80万人，毕业生7.43万人。中等职业学校招生4.47万人，在校生14.47万人，毕业生5.42万人。普通中学招生25.94万人，在校生70.36万人，毕业生19.28万人。普通小学招生24.01万人，在校生133.21万人，毕业生19.51万人。幼儿园在园幼儿54.97万人。</w:t>
      </w:r>
    </w:p>
    <w:p w14:paraId="027BAFED">
      <w:pPr>
        <w:pStyle w:val="4"/>
        <w:rPr>
          <w:rFonts w:eastAsia="宋体"/>
        </w:rPr>
      </w:pPr>
      <w:bookmarkStart w:id="365" w:name="_Toc209125212"/>
      <w:r>
        <w:rPr>
          <w:rFonts w:eastAsia="宋体"/>
          <w:lang w:eastAsia="zh-CN"/>
        </w:rPr>
        <w:t>医疗</w:t>
      </w:r>
      <w:bookmarkEnd w:id="365"/>
    </w:p>
    <w:p w14:paraId="5E18D1EA">
      <w:pPr>
        <w:pStyle w:val="8"/>
        <w:rPr>
          <w:lang w:eastAsia="zh-CN"/>
        </w:rPr>
      </w:pPr>
      <w:r>
        <w:rPr>
          <w:lang w:eastAsia="zh-CN"/>
        </w:rPr>
        <w:t>2024年末全市共有各类医疗卫生机构（不含村卫生室）6199个，其中，医院336个，妇幼保健机构12个，专科疾病防治机构7个，疾病预防控制机构16个，卫生监督机构11个。全市拥有床位12.09万张，比上年增长3.3%，其中，医院床位11.12万张，增长4.1%。全市各类卫生技术人员21.03万人，增长3.0%；其中，执业（助理）医师7.54万人，注册护士9.67万人，疾病预防控制机构卫生技术人员2201人，卫生监督机构卫生技术人员255人。全市共有社区卫生服务机构313个，社区卫生服务机构床位0.37万张，社区卫生服务机构卫生技术人员1.72万人；镇卫生院31个，镇卫生院床位0.24万张，镇卫生院卫生技术人员0.48万人。法定报告甲、乙类传染病发病总数12.64万例，死亡152人，发病率671.44/10万，死亡率0.81/10万。全市各类医疗卫生机构向社会提供诊疗服务1.9亿人次，增长10.4%，提供住院服务434.81万人次，增长8.7%。</w:t>
      </w:r>
    </w:p>
    <w:p w14:paraId="1DBD6DB6">
      <w:pPr>
        <w:pStyle w:val="3"/>
        <w:rPr>
          <w:rFonts w:ascii="Times New Roman" w:hAnsi="Times New Roman" w:eastAsia="宋体"/>
        </w:rPr>
      </w:pPr>
      <w:bookmarkStart w:id="366" w:name="_Toc209125213"/>
      <w:r>
        <w:rPr>
          <w:rFonts w:ascii="Times New Roman" w:hAnsi="Times New Roman" w:eastAsia="宋体"/>
        </w:rPr>
        <w:t>环境质量和辐射现状</w:t>
      </w:r>
      <w:bookmarkEnd w:id="360"/>
      <w:bookmarkEnd w:id="361"/>
      <w:bookmarkEnd w:id="366"/>
    </w:p>
    <w:p w14:paraId="50FA9A23">
      <w:pPr>
        <w:pStyle w:val="4"/>
        <w:rPr>
          <w:rFonts w:eastAsia="宋体"/>
        </w:rPr>
      </w:pPr>
      <w:bookmarkStart w:id="367" w:name="_Toc209125214"/>
      <w:bookmarkStart w:id="368" w:name="_Toc34738582"/>
      <w:bookmarkStart w:id="369" w:name="_Toc71554605"/>
      <w:r>
        <w:rPr>
          <w:rFonts w:eastAsia="宋体"/>
        </w:rPr>
        <w:t>辐射环境质量现状监测与评价</w:t>
      </w:r>
      <w:bookmarkEnd w:id="362"/>
      <w:bookmarkEnd w:id="367"/>
      <w:bookmarkEnd w:id="368"/>
      <w:bookmarkEnd w:id="369"/>
    </w:p>
    <w:p w14:paraId="38F81558">
      <w:pPr>
        <w:pStyle w:val="8"/>
        <w:rPr>
          <w:lang w:eastAsia="zh-CN"/>
        </w:rPr>
      </w:pPr>
      <w:r>
        <w:t>为了解本项目拟建场址（以下简称“拟建场址”）及周围环境的辐射环境现状，评价单位委托核工业二九〇研究所（检验检测机构资质认定证书编号：202319000907）、</w:t>
      </w:r>
      <w:r>
        <w:rPr>
          <w:rFonts w:hint="eastAsia"/>
          <w:lang w:eastAsia="zh-CN"/>
        </w:rPr>
        <w:t>核工业二三〇研究所（</w:t>
      </w:r>
      <w:r>
        <w:t>检验检测机构资质认定证书编号：</w:t>
      </w:r>
      <w:r>
        <w:rPr>
          <w:rFonts w:hint="eastAsia"/>
          <w:lang w:eastAsia="zh-CN"/>
        </w:rPr>
        <w:t>231820182527）、</w:t>
      </w:r>
      <w:r>
        <w:t>广东核协检测服务有限公司（检验检测机构资质认定证书编号：202019115369）对拟建场址及周围环境进行了辐射环境现状调查。</w:t>
      </w:r>
    </w:p>
    <w:p w14:paraId="54875CB0">
      <w:pPr>
        <w:pStyle w:val="5"/>
      </w:pPr>
      <w:bookmarkStart w:id="370" w:name="_Toc464041453"/>
      <w:bookmarkStart w:id="371" w:name="OLE_LINK15"/>
      <w:r>
        <w:t>监测</w:t>
      </w:r>
      <w:bookmarkEnd w:id="370"/>
      <w:r>
        <w:t>内容</w:t>
      </w:r>
    </w:p>
    <w:p w14:paraId="67FBB210">
      <w:pPr>
        <w:pStyle w:val="8"/>
      </w:pPr>
      <w:bookmarkStart w:id="372" w:name="OLE_LINK14"/>
      <w:r>
        <w:t>根据本项目主要辐射污染因子的类别和特征</w:t>
      </w:r>
      <w:r>
        <w:rPr>
          <w:lang w:eastAsia="zh-CN"/>
        </w:rPr>
        <w:t>，</w:t>
      </w:r>
      <w:r>
        <w:t>本次辐射环境现状调查选取的</w:t>
      </w:r>
      <w:r>
        <w:rPr>
          <w:lang w:eastAsia="zh-CN"/>
        </w:rPr>
        <w:t>监测对象为外照射、土壤和地表水。</w:t>
      </w:r>
      <w:r>
        <w:t>辐射环境现状监测对象和监测项目</w:t>
      </w:r>
      <w:bookmarkEnd w:id="372"/>
      <w:r>
        <w:t>列于</w:t>
      </w:r>
      <w:r>
        <w:fldChar w:fldCharType="begin"/>
      </w:r>
      <w:r>
        <w:instrText xml:space="preserve"> REF _Ref60321422 \h  \* MERGEFORMAT </w:instrText>
      </w:r>
      <w:r>
        <w:fldChar w:fldCharType="separate"/>
      </w:r>
      <w:r>
        <w:t>表2</w:t>
      </w:r>
      <w:r>
        <w:noBreakHyphen/>
      </w:r>
      <w:r>
        <w:t>1</w:t>
      </w:r>
      <w:r>
        <w:fldChar w:fldCharType="end"/>
      </w:r>
      <w:r>
        <w:t>。</w:t>
      </w:r>
    </w:p>
    <w:p w14:paraId="3DEAFFC1">
      <w:pPr>
        <w:pStyle w:val="8"/>
        <w:rPr>
          <w:lang w:eastAsia="zh-CN"/>
        </w:rPr>
      </w:pPr>
      <w:r>
        <w:rPr>
          <w:lang w:eastAsia="zh-CN"/>
        </w:rPr>
        <w:t>质子治疗系统运行期间的辐射场为中子和γ辐射混合场，因此外照射监测内容包括环境地表γ辐射剂量率和中子周围剂量当量率。</w:t>
      </w:r>
    </w:p>
    <w:p w14:paraId="7B62772F">
      <w:pPr>
        <w:pStyle w:val="15"/>
        <w:keepNext/>
        <w:rPr>
          <w:color w:val="000000"/>
        </w:rPr>
      </w:pPr>
      <w:bookmarkStart w:id="373" w:name="_Ref60321422"/>
      <w:bookmarkStart w:id="374" w:name="_Toc45987666"/>
      <w:bookmarkStart w:id="375" w:name="_Toc150973445"/>
      <w:r>
        <w:rPr>
          <w:color w:val="000000"/>
        </w:rPr>
        <w:t>表</w:t>
      </w:r>
      <w:r>
        <w:rPr>
          <w:color w:val="000000"/>
        </w:rPr>
        <w:fldChar w:fldCharType="begin"/>
      </w:r>
      <w:r>
        <w:rPr>
          <w:color w:val="000000"/>
        </w:rPr>
        <w:instrText xml:space="preserve"> STYLEREF 1 \s </w:instrText>
      </w:r>
      <w:r>
        <w:rPr>
          <w:color w:val="000000"/>
        </w:rPr>
        <w:fldChar w:fldCharType="separate"/>
      </w:r>
      <w:r>
        <w:rPr>
          <w:color w:val="000000"/>
        </w:rPr>
        <w:t>2</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1</w:t>
      </w:r>
      <w:r>
        <w:rPr>
          <w:color w:val="000000"/>
        </w:rPr>
        <w:fldChar w:fldCharType="end"/>
      </w:r>
      <w:bookmarkEnd w:id="373"/>
      <w:r>
        <w:rPr>
          <w:color w:val="000000"/>
        </w:rPr>
        <w:t xml:space="preserve"> 监测对象和项目</w:t>
      </w:r>
      <w:bookmarkEnd w:id="374"/>
      <w:bookmarkEnd w:id="375"/>
    </w:p>
    <w:tbl>
      <w:tblPr>
        <w:tblStyle w:val="45"/>
        <w:tblW w:w="872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2"/>
        <w:gridCol w:w="1985"/>
        <w:gridCol w:w="5493"/>
      </w:tblGrid>
      <w:tr w14:paraId="57C602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42" w:type="dxa"/>
            <w:vAlign w:val="center"/>
          </w:tcPr>
          <w:p w14:paraId="0B8351BE">
            <w:pPr>
              <w:jc w:val="center"/>
              <w:rPr>
                <w:b/>
                <w:bCs/>
                <w:color w:val="000000"/>
                <w:szCs w:val="21"/>
              </w:rPr>
            </w:pPr>
            <w:r>
              <w:rPr>
                <w:b/>
                <w:bCs/>
                <w:color w:val="000000"/>
                <w:szCs w:val="21"/>
              </w:rPr>
              <w:t>序号</w:t>
            </w:r>
          </w:p>
        </w:tc>
        <w:tc>
          <w:tcPr>
            <w:tcW w:w="1985" w:type="dxa"/>
            <w:vAlign w:val="center"/>
          </w:tcPr>
          <w:p w14:paraId="47E3AFAE">
            <w:pPr>
              <w:jc w:val="center"/>
              <w:rPr>
                <w:b/>
                <w:bCs/>
                <w:color w:val="000000"/>
                <w:szCs w:val="21"/>
              </w:rPr>
            </w:pPr>
            <w:r>
              <w:rPr>
                <w:b/>
                <w:bCs/>
                <w:color w:val="000000"/>
                <w:szCs w:val="21"/>
              </w:rPr>
              <w:t>监测对象</w:t>
            </w:r>
          </w:p>
        </w:tc>
        <w:tc>
          <w:tcPr>
            <w:tcW w:w="5493" w:type="dxa"/>
            <w:vAlign w:val="center"/>
          </w:tcPr>
          <w:p w14:paraId="04D76EE5">
            <w:pPr>
              <w:jc w:val="center"/>
              <w:rPr>
                <w:b/>
                <w:bCs/>
                <w:color w:val="000000"/>
                <w:szCs w:val="21"/>
              </w:rPr>
            </w:pPr>
            <w:r>
              <w:rPr>
                <w:b/>
                <w:bCs/>
                <w:color w:val="000000"/>
                <w:szCs w:val="21"/>
              </w:rPr>
              <w:t>监测项目</w:t>
            </w:r>
          </w:p>
        </w:tc>
      </w:tr>
      <w:tr w14:paraId="2D4333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42" w:type="dxa"/>
            <w:vMerge w:val="restart"/>
            <w:vAlign w:val="center"/>
          </w:tcPr>
          <w:p w14:paraId="6247F71E">
            <w:pPr>
              <w:jc w:val="center"/>
              <w:rPr>
                <w:color w:val="000000"/>
                <w:szCs w:val="21"/>
              </w:rPr>
            </w:pPr>
            <w:r>
              <w:rPr>
                <w:color w:val="000000"/>
                <w:szCs w:val="21"/>
              </w:rPr>
              <w:t>1</w:t>
            </w:r>
          </w:p>
        </w:tc>
        <w:tc>
          <w:tcPr>
            <w:tcW w:w="1985" w:type="dxa"/>
            <w:vMerge w:val="restart"/>
            <w:vAlign w:val="center"/>
          </w:tcPr>
          <w:p w14:paraId="7DE0256B">
            <w:pPr>
              <w:jc w:val="center"/>
              <w:rPr>
                <w:color w:val="000000"/>
                <w:szCs w:val="21"/>
              </w:rPr>
            </w:pPr>
            <w:r>
              <w:rPr>
                <w:color w:val="000000"/>
                <w:szCs w:val="21"/>
              </w:rPr>
              <w:t>外照射</w:t>
            </w:r>
          </w:p>
        </w:tc>
        <w:tc>
          <w:tcPr>
            <w:tcW w:w="5493" w:type="dxa"/>
            <w:vAlign w:val="center"/>
          </w:tcPr>
          <w:p w14:paraId="1B086CD0">
            <w:pPr>
              <w:jc w:val="center"/>
              <w:rPr>
                <w:color w:val="000000"/>
                <w:szCs w:val="21"/>
              </w:rPr>
            </w:pPr>
            <w:r>
              <w:rPr>
                <w:color w:val="000000"/>
                <w:szCs w:val="21"/>
              </w:rPr>
              <w:t>环境地表γ辐射剂量率</w:t>
            </w:r>
          </w:p>
        </w:tc>
      </w:tr>
      <w:tr w14:paraId="685258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42" w:type="dxa"/>
            <w:vMerge w:val="continue"/>
            <w:vAlign w:val="center"/>
          </w:tcPr>
          <w:p w14:paraId="061FF5E4">
            <w:pPr>
              <w:jc w:val="center"/>
              <w:rPr>
                <w:color w:val="000000"/>
                <w:szCs w:val="21"/>
              </w:rPr>
            </w:pPr>
          </w:p>
        </w:tc>
        <w:tc>
          <w:tcPr>
            <w:tcW w:w="1985" w:type="dxa"/>
            <w:vMerge w:val="continue"/>
            <w:vAlign w:val="center"/>
          </w:tcPr>
          <w:p w14:paraId="1328D5DE">
            <w:pPr>
              <w:jc w:val="center"/>
              <w:rPr>
                <w:color w:val="000000"/>
                <w:szCs w:val="21"/>
              </w:rPr>
            </w:pPr>
          </w:p>
        </w:tc>
        <w:tc>
          <w:tcPr>
            <w:tcW w:w="5493" w:type="dxa"/>
            <w:vAlign w:val="center"/>
          </w:tcPr>
          <w:p w14:paraId="20A1554E">
            <w:pPr>
              <w:jc w:val="center"/>
              <w:rPr>
                <w:color w:val="000000"/>
                <w:szCs w:val="21"/>
              </w:rPr>
            </w:pPr>
            <w:r>
              <w:rPr>
                <w:color w:val="000000"/>
                <w:szCs w:val="21"/>
              </w:rPr>
              <w:t>中子周围剂量当量率</w:t>
            </w:r>
          </w:p>
        </w:tc>
      </w:tr>
      <w:tr w14:paraId="578FA3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42" w:type="dxa"/>
            <w:vAlign w:val="center"/>
          </w:tcPr>
          <w:p w14:paraId="3A290E93">
            <w:pPr>
              <w:jc w:val="center"/>
              <w:rPr>
                <w:color w:val="000000"/>
                <w:szCs w:val="21"/>
              </w:rPr>
            </w:pPr>
            <w:r>
              <w:rPr>
                <w:color w:val="000000"/>
                <w:szCs w:val="21"/>
              </w:rPr>
              <w:t>2</w:t>
            </w:r>
          </w:p>
        </w:tc>
        <w:tc>
          <w:tcPr>
            <w:tcW w:w="1985" w:type="dxa"/>
            <w:vAlign w:val="center"/>
          </w:tcPr>
          <w:p w14:paraId="5420FEE2">
            <w:pPr>
              <w:jc w:val="center"/>
              <w:rPr>
                <w:color w:val="000000"/>
                <w:szCs w:val="21"/>
              </w:rPr>
            </w:pPr>
            <w:r>
              <w:rPr>
                <w:color w:val="000000"/>
                <w:szCs w:val="21"/>
              </w:rPr>
              <w:t>土壤</w:t>
            </w:r>
          </w:p>
        </w:tc>
        <w:tc>
          <w:tcPr>
            <w:tcW w:w="5493" w:type="dxa"/>
            <w:vAlign w:val="center"/>
          </w:tcPr>
          <w:p w14:paraId="10DF0A02">
            <w:pPr>
              <w:jc w:val="center"/>
              <w:rPr>
                <w:color w:val="000000"/>
                <w:szCs w:val="21"/>
              </w:rPr>
            </w:pPr>
            <w:r>
              <w:rPr>
                <w:color w:val="000000"/>
                <w:szCs w:val="21"/>
                <w:vertAlign w:val="superscript"/>
              </w:rPr>
              <w:t>7</w:t>
            </w:r>
            <w:r>
              <w:rPr>
                <w:color w:val="000000"/>
                <w:szCs w:val="21"/>
              </w:rPr>
              <w:t>Be、</w:t>
            </w:r>
            <w:r>
              <w:rPr>
                <w:color w:val="000000"/>
                <w:szCs w:val="21"/>
                <w:vertAlign w:val="superscript"/>
              </w:rPr>
              <w:t>22</w:t>
            </w:r>
            <w:r>
              <w:rPr>
                <w:color w:val="000000"/>
                <w:szCs w:val="21"/>
              </w:rPr>
              <w:t>Na、</w:t>
            </w:r>
            <w:r>
              <w:rPr>
                <w:szCs w:val="21"/>
              </w:rPr>
              <w:t>总α、</w:t>
            </w:r>
            <w:r>
              <w:rPr>
                <w:color w:val="000000"/>
                <w:szCs w:val="21"/>
              </w:rPr>
              <w:t>总β</w:t>
            </w:r>
          </w:p>
        </w:tc>
      </w:tr>
      <w:tr w14:paraId="11681D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42" w:type="dxa"/>
            <w:vAlign w:val="center"/>
          </w:tcPr>
          <w:p w14:paraId="3C7C747E">
            <w:pPr>
              <w:jc w:val="center"/>
              <w:rPr>
                <w:color w:val="000000"/>
                <w:szCs w:val="21"/>
              </w:rPr>
            </w:pPr>
            <w:r>
              <w:rPr>
                <w:color w:val="000000"/>
                <w:szCs w:val="21"/>
              </w:rPr>
              <w:t>3</w:t>
            </w:r>
          </w:p>
        </w:tc>
        <w:tc>
          <w:tcPr>
            <w:tcW w:w="1985" w:type="dxa"/>
            <w:vAlign w:val="center"/>
          </w:tcPr>
          <w:p w14:paraId="0D8DE9F5">
            <w:pPr>
              <w:jc w:val="center"/>
              <w:rPr>
                <w:color w:val="000000"/>
                <w:szCs w:val="21"/>
              </w:rPr>
            </w:pPr>
            <w:r>
              <w:rPr>
                <w:color w:val="000000"/>
                <w:szCs w:val="21"/>
              </w:rPr>
              <w:t>地表水</w:t>
            </w:r>
          </w:p>
        </w:tc>
        <w:tc>
          <w:tcPr>
            <w:tcW w:w="5493" w:type="dxa"/>
            <w:vAlign w:val="center"/>
          </w:tcPr>
          <w:p w14:paraId="185509DD">
            <w:pPr>
              <w:jc w:val="center"/>
              <w:rPr>
                <w:color w:val="000000"/>
                <w:szCs w:val="21"/>
              </w:rPr>
            </w:pPr>
            <w:r>
              <w:rPr>
                <w:color w:val="000000"/>
                <w:szCs w:val="21"/>
                <w:vertAlign w:val="superscript"/>
              </w:rPr>
              <w:t>3</w:t>
            </w:r>
            <w:r>
              <w:rPr>
                <w:color w:val="000000"/>
                <w:szCs w:val="21"/>
              </w:rPr>
              <w:t>H、</w:t>
            </w:r>
            <w:r>
              <w:rPr>
                <w:color w:val="000000"/>
                <w:szCs w:val="21"/>
                <w:vertAlign w:val="superscript"/>
              </w:rPr>
              <w:t>7</w:t>
            </w:r>
            <w:r>
              <w:rPr>
                <w:color w:val="000000"/>
                <w:szCs w:val="21"/>
              </w:rPr>
              <w:t>Be、</w:t>
            </w:r>
            <w:r>
              <w:rPr>
                <w:szCs w:val="21"/>
              </w:rPr>
              <w:t>总α、</w:t>
            </w:r>
            <w:r>
              <w:rPr>
                <w:color w:val="000000"/>
                <w:szCs w:val="21"/>
              </w:rPr>
              <w:t>总β</w:t>
            </w:r>
          </w:p>
        </w:tc>
      </w:tr>
    </w:tbl>
    <w:p w14:paraId="622F7DA6">
      <w:pPr>
        <w:pStyle w:val="5"/>
        <w:rPr>
          <w:lang w:eastAsia="zh-CN"/>
        </w:rPr>
      </w:pPr>
      <w:r>
        <w:t>监测</w:t>
      </w:r>
      <w:r>
        <w:rPr>
          <w:lang w:eastAsia="zh-CN"/>
        </w:rPr>
        <w:t>/取样点位</w:t>
      </w:r>
    </w:p>
    <w:p w14:paraId="52F421CB">
      <w:pPr>
        <w:pStyle w:val="8"/>
        <w:rPr>
          <w:lang w:eastAsia="zh-CN"/>
        </w:rPr>
      </w:pPr>
      <w:r>
        <w:t>环境地表γ辐射剂量率和中子</w:t>
      </w:r>
      <w:r>
        <w:rPr>
          <w:lang w:eastAsia="zh-CN"/>
        </w:rPr>
        <w:t>周围</w:t>
      </w:r>
      <w:r>
        <w:t>当量剂量率的监测点位见</w:t>
      </w:r>
      <w:r>
        <w:fldChar w:fldCharType="begin"/>
      </w:r>
      <w:r>
        <w:instrText xml:space="preserve"> REF _Ref40541245 \h  \* MERGEFORMAT </w:instrText>
      </w:r>
      <w:r>
        <w:fldChar w:fldCharType="separate"/>
      </w:r>
      <w:r>
        <w:t>图 2</w:t>
      </w:r>
      <w:r>
        <w:noBreakHyphen/>
      </w:r>
      <w:r>
        <w:t>1</w:t>
      </w:r>
      <w:r>
        <w:fldChar w:fldCharType="end"/>
      </w:r>
      <w:r>
        <w:rPr>
          <w:lang w:eastAsia="zh-CN"/>
        </w:rPr>
        <w:t>。由监测点位可知，在项目拟建场址、场址周围环境以及场址周边均设置了监测点位，能够反映拟建场址及邻近环境的辐射环境本底水平。因此，监测点位布设是符合相关标准规定的。</w:t>
      </w:r>
    </w:p>
    <w:p w14:paraId="7AC15670">
      <w:pPr>
        <w:pStyle w:val="8"/>
        <w:rPr>
          <w:highlight w:val="yellow"/>
          <w:lang w:eastAsia="zh-CN"/>
        </w:rPr>
      </w:pPr>
      <w:r>
        <w:rPr>
          <w:lang w:eastAsia="zh-CN"/>
        </w:rPr>
        <w:t>环境介质取样点位见</w:t>
      </w:r>
      <w:r>
        <w:rPr>
          <w:lang w:eastAsia="zh-CN"/>
        </w:rPr>
        <w:fldChar w:fldCharType="begin"/>
      </w:r>
      <w:r>
        <w:rPr>
          <w:lang w:eastAsia="zh-CN"/>
        </w:rPr>
        <w:instrText xml:space="preserve"> REF _Ref187676116 \h  \* MERGEFORMAT </w:instrText>
      </w:r>
      <w:r>
        <w:rPr>
          <w:lang w:eastAsia="zh-CN"/>
        </w:rPr>
        <w:fldChar w:fldCharType="separate"/>
      </w:r>
      <w:r>
        <w:t>图 2</w:t>
      </w:r>
      <w:r>
        <w:noBreakHyphen/>
      </w:r>
      <w:r>
        <w:t>2</w:t>
      </w:r>
      <w:r>
        <w:rPr>
          <w:lang w:eastAsia="zh-CN"/>
        </w:rPr>
        <w:fldChar w:fldCharType="end"/>
      </w:r>
      <w:r>
        <w:rPr>
          <w:lang w:eastAsia="zh-CN"/>
        </w:rPr>
        <w:t>、</w:t>
      </w:r>
      <w:r>
        <w:rPr>
          <w:lang w:eastAsia="zh-CN"/>
        </w:rPr>
        <w:fldChar w:fldCharType="begin"/>
      </w:r>
      <w:r>
        <w:rPr>
          <w:lang w:eastAsia="zh-CN"/>
        </w:rPr>
        <w:instrText xml:space="preserve"> REF _Ref207367046 \h  \* MERGEFORMAT </w:instrText>
      </w:r>
      <w:r>
        <w:rPr>
          <w:lang w:eastAsia="zh-CN"/>
        </w:rPr>
        <w:fldChar w:fldCharType="separate"/>
      </w:r>
      <w:r>
        <w:t>图 2</w:t>
      </w:r>
      <w:r>
        <w:noBreakHyphen/>
      </w:r>
      <w:r>
        <w:t>3</w:t>
      </w:r>
      <w:r>
        <w:rPr>
          <w:lang w:eastAsia="zh-CN"/>
        </w:rPr>
        <w:fldChar w:fldCharType="end"/>
      </w:r>
      <w:r>
        <w:rPr>
          <w:lang w:eastAsia="zh-CN"/>
        </w:rPr>
        <w:t>。取土壤样品时，根据现场条件，在本项目拟建场址周边设取样点，每个点位取土样约3kg，取样时去除石头、树枝等杂质。地表水取样点位于医院南侧暹岗社区的小水塘，采集一个点位。经现场踏勘，项目附近无地下水井，因此不设置地下水监测点位。</w:t>
      </w:r>
    </w:p>
    <w:p w14:paraId="661E03E4">
      <w:pPr>
        <w:pStyle w:val="8"/>
        <w:ind w:firstLine="0" w:firstLineChars="0"/>
        <w:jc w:val="center"/>
      </w:pPr>
      <w:r>
        <w:drawing>
          <wp:inline distT="0" distB="0" distL="0" distR="0">
            <wp:extent cx="5274310" cy="4691380"/>
            <wp:effectExtent l="0" t="0" r="2540" b="0"/>
            <wp:docPr id="1167968680" name="图片 5"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68680" name="图片 5" descr="地图&#10;&#10;AI 生成的内容可能不正确。"/>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4310" cy="4691380"/>
                    </a:xfrm>
                    <a:prstGeom prst="rect">
                      <a:avLst/>
                    </a:prstGeom>
                  </pic:spPr>
                </pic:pic>
              </a:graphicData>
            </a:graphic>
          </wp:inline>
        </w:drawing>
      </w:r>
    </w:p>
    <w:p w14:paraId="28882FC0">
      <w:pPr>
        <w:pStyle w:val="15"/>
        <w:rPr>
          <w:color w:val="000000"/>
        </w:rPr>
      </w:pPr>
      <w:bookmarkStart w:id="376" w:name="_Ref40541245"/>
      <w:bookmarkStart w:id="377" w:name="_Toc46781057"/>
      <w:bookmarkStart w:id="378" w:name="_Toc151477727"/>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2</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w:t>
      </w:r>
      <w:r>
        <w:rPr>
          <w:color w:val="000000"/>
        </w:rPr>
        <w:fldChar w:fldCharType="end"/>
      </w:r>
      <w:bookmarkEnd w:id="376"/>
      <w:r>
        <w:rPr>
          <w:color w:val="000000"/>
        </w:rPr>
        <w:t>环境地表γ辐射剂量率和中子周围剂量当量率监测点位</w:t>
      </w:r>
      <w:bookmarkEnd w:id="377"/>
      <w:r>
        <w:rPr>
          <w:color w:val="000000"/>
        </w:rPr>
        <w:t>图</w:t>
      </w:r>
      <w:bookmarkEnd w:id="378"/>
    </w:p>
    <w:p w14:paraId="0B9C9E23">
      <w:pPr>
        <w:jc w:val="center"/>
      </w:pPr>
      <w:r>
        <w:drawing>
          <wp:inline distT="0" distB="0" distL="0" distR="0">
            <wp:extent cx="4493260" cy="3706495"/>
            <wp:effectExtent l="0" t="0" r="2540" b="8255"/>
            <wp:docPr id="2146246438" name="图片 6" descr="图示, 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46438" name="图片 6" descr="图示, 地图&#10;&#10;AI 生成的内容可能不正确。"/>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493260" cy="3706495"/>
                    </a:xfrm>
                    <a:prstGeom prst="rect">
                      <a:avLst/>
                    </a:prstGeom>
                    <a:noFill/>
                  </pic:spPr>
                </pic:pic>
              </a:graphicData>
            </a:graphic>
          </wp:inline>
        </w:drawing>
      </w:r>
    </w:p>
    <w:p w14:paraId="126B5FD6">
      <w:pPr>
        <w:pStyle w:val="15"/>
      </w:pPr>
      <w:bookmarkStart w:id="379" w:name="_Ref187676116"/>
      <w:r>
        <w:t xml:space="preserve">图 </w:t>
      </w:r>
      <w:r>
        <w:fldChar w:fldCharType="begin"/>
      </w:r>
      <w:r>
        <w:instrText xml:space="preserve"> STYLEREF 1 \s </w:instrText>
      </w:r>
      <w:r>
        <w:fldChar w:fldCharType="separate"/>
      </w:r>
      <w:r>
        <w:t>2</w:t>
      </w:r>
      <w:r>
        <w:fldChar w:fldCharType="end"/>
      </w:r>
      <w:r>
        <w:noBreakHyphen/>
      </w:r>
      <w:r>
        <w:fldChar w:fldCharType="begin"/>
      </w:r>
      <w:r>
        <w:instrText xml:space="preserve"> SEQ 图 \* ARABIC \s 1 </w:instrText>
      </w:r>
      <w:r>
        <w:fldChar w:fldCharType="separate"/>
      </w:r>
      <w:r>
        <w:t>2</w:t>
      </w:r>
      <w:r>
        <w:fldChar w:fldCharType="end"/>
      </w:r>
      <w:bookmarkEnd w:id="379"/>
      <w:r>
        <w:t xml:space="preserve"> 环境土壤监测点位示意图</w:t>
      </w:r>
    </w:p>
    <w:p w14:paraId="3C485448">
      <w:pPr>
        <w:keepNext/>
        <w:jc w:val="center"/>
      </w:pPr>
      <w:r>
        <w:drawing>
          <wp:inline distT="0" distB="0" distL="0" distR="0">
            <wp:extent cx="4433570" cy="3658870"/>
            <wp:effectExtent l="0" t="0" r="5080" b="0"/>
            <wp:docPr id="1322860232" name="图片 7" descr="图示, 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60232" name="图片 7" descr="图示, 地图&#10;&#10;AI 生成的内容可能不正确。"/>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437653" cy="3662136"/>
                    </a:xfrm>
                    <a:prstGeom prst="rect">
                      <a:avLst/>
                    </a:prstGeom>
                    <a:noFill/>
                  </pic:spPr>
                </pic:pic>
              </a:graphicData>
            </a:graphic>
          </wp:inline>
        </w:drawing>
      </w:r>
    </w:p>
    <w:p w14:paraId="3DD62932">
      <w:pPr>
        <w:pStyle w:val="15"/>
      </w:pPr>
      <w:bookmarkStart w:id="380" w:name="_Ref207367046"/>
      <w:r>
        <w:t xml:space="preserve">图 </w:t>
      </w:r>
      <w:r>
        <w:fldChar w:fldCharType="begin"/>
      </w:r>
      <w:r>
        <w:instrText xml:space="preserve"> STYLEREF 1 \s </w:instrText>
      </w:r>
      <w:r>
        <w:fldChar w:fldCharType="separate"/>
      </w:r>
      <w:r>
        <w:t>2</w:t>
      </w:r>
      <w:r>
        <w:fldChar w:fldCharType="end"/>
      </w:r>
      <w:r>
        <w:noBreakHyphen/>
      </w:r>
      <w:r>
        <w:fldChar w:fldCharType="begin"/>
      </w:r>
      <w:r>
        <w:instrText xml:space="preserve"> SEQ 图 \* ARABIC \s 1 </w:instrText>
      </w:r>
      <w:r>
        <w:fldChar w:fldCharType="separate"/>
      </w:r>
      <w:r>
        <w:t>3</w:t>
      </w:r>
      <w:r>
        <w:fldChar w:fldCharType="end"/>
      </w:r>
      <w:bookmarkEnd w:id="380"/>
      <w:r>
        <w:t>地表水监测点位示意图</w:t>
      </w:r>
    </w:p>
    <w:p w14:paraId="5BF7313D">
      <w:pPr>
        <w:jc w:val="center"/>
        <w:rPr>
          <w:highlight w:val="yellow"/>
        </w:rPr>
      </w:pPr>
    </w:p>
    <w:p w14:paraId="3528D557">
      <w:pPr>
        <w:pStyle w:val="5"/>
      </w:pPr>
      <w:r>
        <w:t>监测设备和监测方法</w:t>
      </w:r>
    </w:p>
    <w:p w14:paraId="7A8D3ED2">
      <w:pPr>
        <w:pStyle w:val="6"/>
        <w:rPr>
          <w:lang w:eastAsia="zh-CN"/>
        </w:rPr>
      </w:pPr>
      <w:r>
        <w:t>监测设备</w:t>
      </w:r>
    </w:p>
    <w:p w14:paraId="17B004CA">
      <w:pPr>
        <w:pStyle w:val="8"/>
        <w:rPr>
          <w:lang w:eastAsia="zh-CN"/>
        </w:rPr>
      </w:pPr>
      <w:r>
        <w:t>本次监测使用的仪器设备详见</w:t>
      </w:r>
      <w:r>
        <w:fldChar w:fldCharType="begin"/>
      </w:r>
      <w:r>
        <w:instrText xml:space="preserve"> REF _Ref461784006 \h  \* MERGEFORMAT </w:instrText>
      </w:r>
      <w:r>
        <w:fldChar w:fldCharType="separate"/>
      </w:r>
      <w:r>
        <w:t>表2</w:t>
      </w:r>
      <w:r>
        <w:noBreakHyphen/>
      </w:r>
      <w:r>
        <w:t>2</w:t>
      </w:r>
      <w:r>
        <w:fldChar w:fldCharType="end"/>
      </w:r>
      <w:r>
        <w:rPr>
          <w:lang w:eastAsia="zh-CN"/>
        </w:rPr>
        <w:t>。</w:t>
      </w:r>
      <w:r>
        <w:rPr>
          <w:rFonts w:hint="eastAsia"/>
          <w:lang w:eastAsia="zh-CN"/>
        </w:rPr>
        <w:t>外照射</w:t>
      </w:r>
      <w:r>
        <w:rPr>
          <w:lang w:eastAsia="zh-CN"/>
        </w:rPr>
        <w:t>现场监测时间为2025年8月15日，</w:t>
      </w:r>
      <w:r>
        <w:rPr>
          <w:rFonts w:hint="eastAsia"/>
          <w:lang w:eastAsia="zh-CN"/>
        </w:rPr>
        <w:t>土壤中的</w:t>
      </w:r>
      <w:r>
        <w:rPr>
          <w:kern w:val="0"/>
          <w:szCs w:val="21"/>
          <w:vertAlign w:val="superscript"/>
        </w:rPr>
        <w:t>7</w:t>
      </w:r>
      <w:r>
        <w:rPr>
          <w:kern w:val="0"/>
          <w:szCs w:val="21"/>
        </w:rPr>
        <w:t>Be</w:t>
      </w:r>
      <w:r>
        <w:rPr>
          <w:rFonts w:hint="eastAsia"/>
          <w:kern w:val="0"/>
          <w:szCs w:val="21"/>
          <w:lang w:eastAsia="zh-CN"/>
        </w:rPr>
        <w:t>、</w:t>
      </w:r>
      <w:r>
        <w:rPr>
          <w:kern w:val="0"/>
          <w:szCs w:val="21"/>
          <w:vertAlign w:val="superscript"/>
        </w:rPr>
        <w:t>22</w:t>
      </w:r>
      <w:r>
        <w:rPr>
          <w:kern w:val="0"/>
          <w:szCs w:val="21"/>
        </w:rPr>
        <w:t>Na</w:t>
      </w:r>
      <w:r>
        <w:rPr>
          <w:rFonts w:hint="eastAsia"/>
          <w:kern w:val="0"/>
          <w:szCs w:val="21"/>
          <w:lang w:eastAsia="zh-CN"/>
        </w:rPr>
        <w:t>、</w:t>
      </w:r>
      <w:r>
        <w:rPr>
          <w:kern w:val="0"/>
          <w:szCs w:val="21"/>
        </w:rPr>
        <w:t>总α</w:t>
      </w:r>
      <w:r>
        <w:rPr>
          <w:rFonts w:hint="eastAsia"/>
          <w:kern w:val="0"/>
          <w:szCs w:val="21"/>
          <w:lang w:eastAsia="zh-CN"/>
        </w:rPr>
        <w:t>、</w:t>
      </w:r>
      <w:r>
        <w:rPr>
          <w:kern w:val="0"/>
          <w:szCs w:val="21"/>
        </w:rPr>
        <w:t>总β</w:t>
      </w:r>
      <w:r>
        <w:rPr>
          <w:rFonts w:hint="eastAsia"/>
          <w:kern w:val="0"/>
          <w:szCs w:val="21"/>
          <w:lang w:eastAsia="zh-CN"/>
        </w:rPr>
        <w:t>以及水样中的</w:t>
      </w:r>
      <w:r>
        <w:rPr>
          <w:kern w:val="0"/>
          <w:szCs w:val="21"/>
          <w:vertAlign w:val="superscript"/>
        </w:rPr>
        <w:t>7</w:t>
      </w:r>
      <w:r>
        <w:rPr>
          <w:kern w:val="0"/>
          <w:szCs w:val="21"/>
        </w:rPr>
        <w:t>Be</w:t>
      </w:r>
      <w:r>
        <w:rPr>
          <w:rFonts w:hint="eastAsia"/>
          <w:kern w:val="0"/>
          <w:szCs w:val="21"/>
          <w:lang w:eastAsia="zh-CN"/>
        </w:rPr>
        <w:t>、</w:t>
      </w:r>
      <w:r>
        <w:rPr>
          <w:kern w:val="0"/>
          <w:szCs w:val="21"/>
        </w:rPr>
        <w:t>总α</w:t>
      </w:r>
      <w:r>
        <w:rPr>
          <w:rFonts w:hint="eastAsia"/>
          <w:kern w:val="0"/>
          <w:szCs w:val="21"/>
          <w:lang w:eastAsia="zh-CN"/>
        </w:rPr>
        <w:t>、</w:t>
      </w:r>
      <w:r>
        <w:rPr>
          <w:kern w:val="0"/>
          <w:szCs w:val="21"/>
        </w:rPr>
        <w:t>总β</w:t>
      </w:r>
      <w:r>
        <w:rPr>
          <w:lang w:eastAsia="zh-CN"/>
        </w:rPr>
        <w:t>实验室检测时间为2025年8月15日至2025年8月28日，</w:t>
      </w:r>
      <w:r>
        <w:rPr>
          <w:rFonts w:hint="eastAsia"/>
          <w:lang w:eastAsia="zh-CN"/>
        </w:rPr>
        <w:t>水样中的</w:t>
      </w:r>
      <w:r>
        <w:rPr>
          <w:szCs w:val="21"/>
          <w:vertAlign w:val="superscript"/>
        </w:rPr>
        <w:t>3</w:t>
      </w:r>
      <w:r>
        <w:rPr>
          <w:szCs w:val="21"/>
        </w:rPr>
        <w:t>H</w:t>
      </w:r>
      <w:r>
        <w:rPr>
          <w:rFonts w:hint="eastAsia"/>
          <w:lang w:eastAsia="zh-CN"/>
        </w:rPr>
        <w:t>实验室检测时间为2025年8月18日至2025年9月12日，</w:t>
      </w:r>
      <w:r>
        <w:rPr>
          <w:lang w:eastAsia="zh-CN"/>
        </w:rPr>
        <w:t>分析时</w:t>
      </w:r>
      <w:r>
        <w:t>监测仪器设备均处于检定有效期内</w:t>
      </w:r>
      <w:r>
        <w:rPr>
          <w:lang w:eastAsia="zh-CN"/>
        </w:rPr>
        <w:t>。</w:t>
      </w:r>
    </w:p>
    <w:p w14:paraId="56B46EA8">
      <w:pPr>
        <w:pStyle w:val="15"/>
        <w:keepNext/>
      </w:pPr>
      <w:bookmarkStart w:id="381" w:name="_Ref461784006"/>
      <w:bookmarkStart w:id="382" w:name="_Toc464207461"/>
      <w:bookmarkStart w:id="383" w:name="_Toc470262220"/>
      <w:bookmarkStart w:id="384" w:name="_Toc34738370"/>
      <w:bookmarkStart w:id="385" w:name="_Toc150973446"/>
      <w:bookmarkStart w:id="386" w:name="_Toc487620035"/>
      <w:r>
        <w:t>表</w:t>
      </w:r>
      <w:r>
        <w:fldChar w:fldCharType="begin"/>
      </w:r>
      <w:r>
        <w:instrText xml:space="preserve"> STYLEREF 1 \s </w:instrText>
      </w:r>
      <w:r>
        <w:fldChar w:fldCharType="separate"/>
      </w:r>
      <w:r>
        <w:t>2</w:t>
      </w:r>
      <w:r>
        <w:fldChar w:fldCharType="end"/>
      </w:r>
      <w:r>
        <w:noBreakHyphen/>
      </w:r>
      <w:r>
        <w:fldChar w:fldCharType="begin"/>
      </w:r>
      <w:r>
        <w:instrText xml:space="preserve"> SEQ 表 \* ARABIC \s 1 </w:instrText>
      </w:r>
      <w:r>
        <w:fldChar w:fldCharType="separate"/>
      </w:r>
      <w:r>
        <w:t>2</w:t>
      </w:r>
      <w:r>
        <w:fldChar w:fldCharType="end"/>
      </w:r>
      <w:bookmarkEnd w:id="381"/>
      <w:r>
        <w:t xml:space="preserve"> </w:t>
      </w:r>
      <w:bookmarkEnd w:id="382"/>
      <w:bookmarkEnd w:id="383"/>
      <w:r>
        <w:t>仪器设备及性能指标</w:t>
      </w:r>
      <w:bookmarkEnd w:id="384"/>
      <w:bookmarkEnd w:id="385"/>
      <w:bookmarkEnd w:id="386"/>
    </w:p>
    <w:tbl>
      <w:tblPr>
        <w:tblStyle w:val="45"/>
        <w:tblW w:w="0" w:type="auto"/>
        <w:jc w:val="center"/>
        <w:tblLayout w:type="fixed"/>
        <w:tblCellMar>
          <w:top w:w="0" w:type="dxa"/>
          <w:left w:w="108" w:type="dxa"/>
          <w:bottom w:w="0" w:type="dxa"/>
          <w:right w:w="108" w:type="dxa"/>
        </w:tblCellMar>
      </w:tblPr>
      <w:tblGrid>
        <w:gridCol w:w="1060"/>
        <w:gridCol w:w="1060"/>
        <w:gridCol w:w="2270"/>
        <w:gridCol w:w="2785"/>
        <w:gridCol w:w="1121"/>
      </w:tblGrid>
      <w:tr w14:paraId="24226D70">
        <w:tblPrEx>
          <w:tblCellMar>
            <w:top w:w="0" w:type="dxa"/>
            <w:left w:w="108" w:type="dxa"/>
            <w:bottom w:w="0" w:type="dxa"/>
            <w:right w:w="108" w:type="dxa"/>
          </w:tblCellMar>
        </w:tblPrEx>
        <w:trPr>
          <w:trHeight w:val="600" w:hRule="atLeast"/>
          <w:tblHeader/>
          <w:jc w:val="center"/>
        </w:trPr>
        <w:tc>
          <w:tcPr>
            <w:tcW w:w="1060" w:type="dxa"/>
            <w:tcBorders>
              <w:top w:val="single" w:color="auto" w:sz="4" w:space="0"/>
              <w:left w:val="single" w:color="auto" w:sz="4" w:space="0"/>
              <w:bottom w:val="single" w:color="auto" w:sz="4" w:space="0"/>
              <w:right w:val="single" w:color="auto" w:sz="4" w:space="0"/>
            </w:tcBorders>
            <w:noWrap/>
            <w:vAlign w:val="center"/>
          </w:tcPr>
          <w:p w14:paraId="6306027D">
            <w:pPr>
              <w:widowControl/>
              <w:jc w:val="center"/>
              <w:rPr>
                <w:b/>
                <w:bCs/>
                <w:kern w:val="0"/>
                <w:szCs w:val="21"/>
              </w:rPr>
            </w:pPr>
            <w:r>
              <w:rPr>
                <w:b/>
                <w:bCs/>
                <w:kern w:val="0"/>
                <w:szCs w:val="21"/>
              </w:rPr>
              <w:t>样品类型</w:t>
            </w:r>
          </w:p>
        </w:tc>
        <w:tc>
          <w:tcPr>
            <w:tcW w:w="1060" w:type="dxa"/>
            <w:tcBorders>
              <w:top w:val="single" w:color="auto" w:sz="4" w:space="0"/>
              <w:left w:val="nil"/>
              <w:bottom w:val="single" w:color="auto" w:sz="4" w:space="0"/>
              <w:right w:val="single" w:color="auto" w:sz="4" w:space="0"/>
            </w:tcBorders>
            <w:noWrap/>
            <w:vAlign w:val="center"/>
          </w:tcPr>
          <w:p w14:paraId="789A5EFB">
            <w:pPr>
              <w:widowControl/>
              <w:jc w:val="center"/>
              <w:rPr>
                <w:b/>
                <w:bCs/>
                <w:kern w:val="0"/>
                <w:szCs w:val="21"/>
              </w:rPr>
            </w:pPr>
            <w:r>
              <w:rPr>
                <w:b/>
                <w:bCs/>
                <w:kern w:val="0"/>
                <w:szCs w:val="21"/>
              </w:rPr>
              <w:t>检测项目</w:t>
            </w:r>
          </w:p>
        </w:tc>
        <w:tc>
          <w:tcPr>
            <w:tcW w:w="2270" w:type="dxa"/>
            <w:tcBorders>
              <w:top w:val="single" w:color="auto" w:sz="4" w:space="0"/>
              <w:left w:val="nil"/>
              <w:bottom w:val="single" w:color="auto" w:sz="4" w:space="0"/>
              <w:right w:val="single" w:color="auto" w:sz="4" w:space="0"/>
            </w:tcBorders>
            <w:noWrap/>
            <w:vAlign w:val="center"/>
          </w:tcPr>
          <w:p w14:paraId="553AC0C3">
            <w:pPr>
              <w:widowControl/>
              <w:jc w:val="center"/>
              <w:rPr>
                <w:b/>
                <w:bCs/>
                <w:kern w:val="0"/>
                <w:szCs w:val="21"/>
              </w:rPr>
            </w:pPr>
            <w:r>
              <w:rPr>
                <w:b/>
                <w:bCs/>
                <w:kern w:val="0"/>
                <w:szCs w:val="21"/>
              </w:rPr>
              <w:t>设备检定有效期限</w:t>
            </w:r>
          </w:p>
        </w:tc>
        <w:tc>
          <w:tcPr>
            <w:tcW w:w="2785" w:type="dxa"/>
            <w:tcBorders>
              <w:top w:val="single" w:color="auto" w:sz="4" w:space="0"/>
              <w:left w:val="nil"/>
              <w:bottom w:val="single" w:color="auto" w:sz="4" w:space="0"/>
              <w:right w:val="single" w:color="auto" w:sz="4" w:space="0"/>
            </w:tcBorders>
            <w:noWrap/>
            <w:vAlign w:val="center"/>
          </w:tcPr>
          <w:p w14:paraId="4A01E32A">
            <w:pPr>
              <w:widowControl/>
              <w:jc w:val="center"/>
              <w:rPr>
                <w:b/>
                <w:bCs/>
                <w:kern w:val="0"/>
                <w:szCs w:val="21"/>
              </w:rPr>
            </w:pPr>
            <w:r>
              <w:rPr>
                <w:b/>
                <w:bCs/>
                <w:kern w:val="0"/>
                <w:szCs w:val="21"/>
              </w:rPr>
              <w:t>使用仪器</w:t>
            </w:r>
          </w:p>
        </w:tc>
        <w:tc>
          <w:tcPr>
            <w:tcW w:w="1121" w:type="dxa"/>
            <w:tcBorders>
              <w:top w:val="single" w:color="auto" w:sz="4" w:space="0"/>
              <w:left w:val="nil"/>
              <w:bottom w:val="single" w:color="auto" w:sz="4" w:space="0"/>
              <w:right w:val="single" w:color="auto" w:sz="4" w:space="0"/>
            </w:tcBorders>
            <w:noWrap/>
            <w:vAlign w:val="center"/>
          </w:tcPr>
          <w:p w14:paraId="4574926E">
            <w:pPr>
              <w:widowControl/>
              <w:jc w:val="center"/>
              <w:rPr>
                <w:b/>
                <w:bCs/>
                <w:kern w:val="0"/>
                <w:szCs w:val="21"/>
              </w:rPr>
            </w:pPr>
            <w:r>
              <w:rPr>
                <w:b/>
                <w:bCs/>
                <w:kern w:val="0"/>
                <w:szCs w:val="21"/>
              </w:rPr>
              <w:t>探测下限</w:t>
            </w:r>
          </w:p>
        </w:tc>
      </w:tr>
      <w:tr w14:paraId="0B8FDCA3">
        <w:tblPrEx>
          <w:tblCellMar>
            <w:top w:w="0" w:type="dxa"/>
            <w:left w:w="108" w:type="dxa"/>
            <w:bottom w:w="0" w:type="dxa"/>
            <w:right w:w="108" w:type="dxa"/>
          </w:tblCellMar>
        </w:tblPrEx>
        <w:trPr>
          <w:trHeight w:val="369" w:hRule="atLeast"/>
          <w:jc w:val="center"/>
        </w:trPr>
        <w:tc>
          <w:tcPr>
            <w:tcW w:w="1060" w:type="dxa"/>
            <w:vMerge w:val="restart"/>
            <w:tcBorders>
              <w:top w:val="nil"/>
              <w:left w:val="single" w:color="auto" w:sz="4" w:space="0"/>
              <w:bottom w:val="single" w:color="000000" w:sz="4" w:space="0"/>
              <w:right w:val="single" w:color="auto" w:sz="4" w:space="0"/>
            </w:tcBorders>
            <w:noWrap/>
            <w:vAlign w:val="center"/>
          </w:tcPr>
          <w:p w14:paraId="57CD359B">
            <w:pPr>
              <w:widowControl/>
              <w:jc w:val="center"/>
              <w:rPr>
                <w:kern w:val="0"/>
                <w:szCs w:val="21"/>
              </w:rPr>
            </w:pPr>
            <w:r>
              <w:rPr>
                <w:kern w:val="0"/>
                <w:szCs w:val="21"/>
              </w:rPr>
              <w:t>土壤</w:t>
            </w:r>
          </w:p>
        </w:tc>
        <w:tc>
          <w:tcPr>
            <w:tcW w:w="1060" w:type="dxa"/>
            <w:tcBorders>
              <w:top w:val="nil"/>
              <w:left w:val="nil"/>
              <w:bottom w:val="single" w:color="auto" w:sz="4" w:space="0"/>
              <w:right w:val="single" w:color="auto" w:sz="4" w:space="0"/>
            </w:tcBorders>
            <w:noWrap/>
            <w:vAlign w:val="center"/>
          </w:tcPr>
          <w:p w14:paraId="768E65EE">
            <w:pPr>
              <w:widowControl/>
              <w:jc w:val="center"/>
              <w:rPr>
                <w:kern w:val="0"/>
                <w:szCs w:val="21"/>
              </w:rPr>
            </w:pPr>
            <w:r>
              <w:rPr>
                <w:kern w:val="0"/>
                <w:szCs w:val="21"/>
                <w:vertAlign w:val="superscript"/>
              </w:rPr>
              <w:t>7</w:t>
            </w:r>
            <w:r>
              <w:rPr>
                <w:kern w:val="0"/>
                <w:szCs w:val="21"/>
              </w:rPr>
              <w:t>Be</w:t>
            </w:r>
          </w:p>
        </w:tc>
        <w:tc>
          <w:tcPr>
            <w:tcW w:w="2270" w:type="dxa"/>
            <w:vMerge w:val="restart"/>
            <w:tcBorders>
              <w:top w:val="single" w:color="auto" w:sz="4" w:space="0"/>
              <w:left w:val="nil"/>
              <w:bottom w:val="single" w:color="auto" w:sz="4" w:space="0"/>
              <w:right w:val="single" w:color="auto" w:sz="4" w:space="0"/>
            </w:tcBorders>
            <w:noWrap/>
            <w:vAlign w:val="center"/>
          </w:tcPr>
          <w:p w14:paraId="4FE94782">
            <w:pPr>
              <w:widowControl/>
              <w:jc w:val="center"/>
              <w:rPr>
                <w:kern w:val="0"/>
                <w:szCs w:val="21"/>
              </w:rPr>
            </w:pPr>
            <w:r>
              <w:rPr>
                <w:kern w:val="0"/>
                <w:szCs w:val="21"/>
              </w:rPr>
              <w:t>2024年1月31日~2026年1月31日</w:t>
            </w:r>
          </w:p>
        </w:tc>
        <w:tc>
          <w:tcPr>
            <w:tcW w:w="2785" w:type="dxa"/>
            <w:vMerge w:val="restart"/>
            <w:tcBorders>
              <w:top w:val="single" w:color="auto" w:sz="4" w:space="0"/>
              <w:left w:val="nil"/>
              <w:bottom w:val="single" w:color="auto" w:sz="4" w:space="0"/>
              <w:right w:val="single" w:color="auto" w:sz="4" w:space="0"/>
            </w:tcBorders>
            <w:vAlign w:val="center"/>
          </w:tcPr>
          <w:p w14:paraId="43691D5E">
            <w:pPr>
              <w:widowControl/>
              <w:jc w:val="center"/>
              <w:rPr>
                <w:kern w:val="0"/>
                <w:szCs w:val="21"/>
              </w:rPr>
            </w:pPr>
            <w:r>
              <w:rPr>
                <w:kern w:val="0"/>
                <w:szCs w:val="21"/>
              </w:rPr>
              <w:t>GMX50-83-SV低本底高纯锗γ能谱仪</w:t>
            </w:r>
          </w:p>
          <w:p w14:paraId="32988281">
            <w:pPr>
              <w:jc w:val="center"/>
              <w:rPr>
                <w:kern w:val="0"/>
                <w:szCs w:val="21"/>
              </w:rPr>
            </w:pPr>
          </w:p>
        </w:tc>
        <w:tc>
          <w:tcPr>
            <w:tcW w:w="1121" w:type="dxa"/>
            <w:tcBorders>
              <w:top w:val="nil"/>
              <w:left w:val="nil"/>
              <w:bottom w:val="single" w:color="auto" w:sz="4" w:space="0"/>
              <w:right w:val="single" w:color="auto" w:sz="4" w:space="0"/>
            </w:tcBorders>
            <w:noWrap/>
            <w:vAlign w:val="center"/>
          </w:tcPr>
          <w:p w14:paraId="1FD36329">
            <w:pPr>
              <w:widowControl/>
              <w:jc w:val="center"/>
              <w:rPr>
                <w:kern w:val="0"/>
                <w:szCs w:val="21"/>
              </w:rPr>
            </w:pPr>
            <w:r>
              <w:rPr>
                <w:kern w:val="0"/>
                <w:szCs w:val="21"/>
              </w:rPr>
              <w:t>13.1Bq/kg</w:t>
            </w:r>
          </w:p>
        </w:tc>
      </w:tr>
      <w:tr w14:paraId="2F0F53DD">
        <w:tblPrEx>
          <w:tblCellMar>
            <w:top w:w="0" w:type="dxa"/>
            <w:left w:w="108" w:type="dxa"/>
            <w:bottom w:w="0" w:type="dxa"/>
            <w:right w:w="108" w:type="dxa"/>
          </w:tblCellMar>
        </w:tblPrEx>
        <w:trPr>
          <w:trHeight w:val="133" w:hRule="atLeast"/>
          <w:jc w:val="center"/>
        </w:trPr>
        <w:tc>
          <w:tcPr>
            <w:tcW w:w="1060" w:type="dxa"/>
            <w:vMerge w:val="continue"/>
            <w:tcBorders>
              <w:top w:val="nil"/>
              <w:left w:val="single" w:color="auto" w:sz="4" w:space="0"/>
              <w:bottom w:val="single" w:color="000000" w:sz="4" w:space="0"/>
              <w:right w:val="single" w:color="auto" w:sz="4" w:space="0"/>
            </w:tcBorders>
            <w:vAlign w:val="center"/>
          </w:tcPr>
          <w:p w14:paraId="29100A4B">
            <w:pPr>
              <w:widowControl/>
              <w:jc w:val="center"/>
              <w:rPr>
                <w:kern w:val="0"/>
                <w:szCs w:val="21"/>
              </w:rPr>
            </w:pPr>
          </w:p>
        </w:tc>
        <w:tc>
          <w:tcPr>
            <w:tcW w:w="1060" w:type="dxa"/>
            <w:tcBorders>
              <w:top w:val="nil"/>
              <w:left w:val="nil"/>
              <w:bottom w:val="single" w:color="auto" w:sz="4" w:space="0"/>
              <w:right w:val="single" w:color="auto" w:sz="4" w:space="0"/>
            </w:tcBorders>
            <w:noWrap/>
            <w:vAlign w:val="center"/>
          </w:tcPr>
          <w:p w14:paraId="6767B81C">
            <w:pPr>
              <w:widowControl/>
              <w:jc w:val="center"/>
              <w:rPr>
                <w:kern w:val="0"/>
                <w:szCs w:val="21"/>
              </w:rPr>
            </w:pPr>
            <w:r>
              <w:rPr>
                <w:kern w:val="0"/>
                <w:szCs w:val="21"/>
                <w:vertAlign w:val="superscript"/>
              </w:rPr>
              <w:t>22</w:t>
            </w:r>
            <w:r>
              <w:rPr>
                <w:kern w:val="0"/>
                <w:szCs w:val="21"/>
              </w:rPr>
              <w:t>Na</w:t>
            </w:r>
          </w:p>
        </w:tc>
        <w:tc>
          <w:tcPr>
            <w:tcW w:w="2270" w:type="dxa"/>
            <w:vMerge w:val="continue"/>
            <w:tcBorders>
              <w:top w:val="single" w:color="auto" w:sz="4" w:space="0"/>
              <w:left w:val="nil"/>
              <w:bottom w:val="single" w:color="auto" w:sz="4" w:space="0"/>
              <w:right w:val="single" w:color="auto" w:sz="4" w:space="0"/>
            </w:tcBorders>
            <w:noWrap/>
            <w:vAlign w:val="center"/>
          </w:tcPr>
          <w:p w14:paraId="110EF459">
            <w:pPr>
              <w:widowControl/>
              <w:jc w:val="center"/>
              <w:rPr>
                <w:kern w:val="0"/>
                <w:szCs w:val="21"/>
              </w:rPr>
            </w:pPr>
          </w:p>
        </w:tc>
        <w:tc>
          <w:tcPr>
            <w:tcW w:w="2785" w:type="dxa"/>
            <w:vMerge w:val="continue"/>
            <w:tcBorders>
              <w:top w:val="single" w:color="auto" w:sz="4" w:space="0"/>
              <w:left w:val="nil"/>
              <w:bottom w:val="single" w:color="auto" w:sz="4" w:space="0"/>
              <w:right w:val="single" w:color="auto" w:sz="4" w:space="0"/>
            </w:tcBorders>
            <w:vAlign w:val="center"/>
          </w:tcPr>
          <w:p w14:paraId="05C0BC93">
            <w:pPr>
              <w:jc w:val="center"/>
              <w:rPr>
                <w:kern w:val="0"/>
                <w:szCs w:val="21"/>
              </w:rPr>
            </w:pPr>
          </w:p>
        </w:tc>
        <w:tc>
          <w:tcPr>
            <w:tcW w:w="1121" w:type="dxa"/>
            <w:tcBorders>
              <w:top w:val="nil"/>
              <w:left w:val="nil"/>
              <w:bottom w:val="single" w:color="auto" w:sz="4" w:space="0"/>
              <w:right w:val="single" w:color="auto" w:sz="4" w:space="0"/>
            </w:tcBorders>
            <w:noWrap/>
            <w:vAlign w:val="center"/>
          </w:tcPr>
          <w:p w14:paraId="4E0EF665">
            <w:pPr>
              <w:widowControl/>
              <w:jc w:val="center"/>
              <w:rPr>
                <w:kern w:val="0"/>
                <w:szCs w:val="21"/>
              </w:rPr>
            </w:pPr>
            <w:r>
              <w:rPr>
                <w:kern w:val="0"/>
                <w:szCs w:val="21"/>
              </w:rPr>
              <w:t>0.15Bq/kg</w:t>
            </w:r>
          </w:p>
        </w:tc>
      </w:tr>
      <w:tr w14:paraId="4EF96293">
        <w:tblPrEx>
          <w:tblCellMar>
            <w:top w:w="0" w:type="dxa"/>
            <w:left w:w="108" w:type="dxa"/>
            <w:bottom w:w="0" w:type="dxa"/>
            <w:right w:w="108" w:type="dxa"/>
          </w:tblCellMar>
        </w:tblPrEx>
        <w:trPr>
          <w:trHeight w:val="133" w:hRule="atLeast"/>
          <w:jc w:val="center"/>
        </w:trPr>
        <w:tc>
          <w:tcPr>
            <w:tcW w:w="1060" w:type="dxa"/>
            <w:vMerge w:val="continue"/>
            <w:tcBorders>
              <w:top w:val="nil"/>
              <w:left w:val="single" w:color="auto" w:sz="4" w:space="0"/>
              <w:bottom w:val="single" w:color="000000" w:sz="4" w:space="0"/>
              <w:right w:val="single" w:color="auto" w:sz="4" w:space="0"/>
            </w:tcBorders>
            <w:vAlign w:val="center"/>
          </w:tcPr>
          <w:p w14:paraId="3DFE01AB">
            <w:pPr>
              <w:widowControl/>
              <w:jc w:val="center"/>
              <w:rPr>
                <w:kern w:val="0"/>
                <w:szCs w:val="21"/>
              </w:rPr>
            </w:pPr>
          </w:p>
        </w:tc>
        <w:tc>
          <w:tcPr>
            <w:tcW w:w="1060" w:type="dxa"/>
            <w:tcBorders>
              <w:top w:val="nil"/>
              <w:left w:val="nil"/>
              <w:bottom w:val="single" w:color="auto" w:sz="4" w:space="0"/>
              <w:right w:val="single" w:color="auto" w:sz="4" w:space="0"/>
            </w:tcBorders>
            <w:noWrap/>
            <w:vAlign w:val="center"/>
          </w:tcPr>
          <w:p w14:paraId="5492E2F3">
            <w:pPr>
              <w:widowControl/>
              <w:jc w:val="center"/>
              <w:rPr>
                <w:kern w:val="0"/>
                <w:szCs w:val="21"/>
              </w:rPr>
            </w:pPr>
            <w:r>
              <w:rPr>
                <w:kern w:val="0"/>
                <w:szCs w:val="21"/>
              </w:rPr>
              <w:t>总α</w:t>
            </w:r>
          </w:p>
        </w:tc>
        <w:tc>
          <w:tcPr>
            <w:tcW w:w="2270" w:type="dxa"/>
            <w:vMerge w:val="restart"/>
            <w:tcBorders>
              <w:top w:val="single" w:color="auto" w:sz="4" w:space="0"/>
              <w:left w:val="nil"/>
              <w:bottom w:val="single" w:color="auto" w:sz="4" w:space="0"/>
              <w:right w:val="single" w:color="auto" w:sz="4" w:space="0"/>
            </w:tcBorders>
            <w:noWrap/>
            <w:vAlign w:val="center"/>
          </w:tcPr>
          <w:p w14:paraId="22195859">
            <w:pPr>
              <w:widowControl/>
              <w:jc w:val="center"/>
              <w:rPr>
                <w:kern w:val="0"/>
                <w:szCs w:val="21"/>
              </w:rPr>
            </w:pPr>
            <w:r>
              <w:rPr>
                <w:kern w:val="0"/>
                <w:szCs w:val="21"/>
              </w:rPr>
              <w:t>2024年1月31日~2026年1月31日</w:t>
            </w:r>
          </w:p>
        </w:tc>
        <w:tc>
          <w:tcPr>
            <w:tcW w:w="2785" w:type="dxa"/>
            <w:vMerge w:val="restart"/>
            <w:tcBorders>
              <w:top w:val="single" w:color="auto" w:sz="4" w:space="0"/>
              <w:left w:val="nil"/>
              <w:bottom w:val="single" w:color="auto" w:sz="4" w:space="0"/>
              <w:right w:val="single" w:color="auto" w:sz="4" w:space="0"/>
            </w:tcBorders>
            <w:vAlign w:val="center"/>
          </w:tcPr>
          <w:p w14:paraId="415F2087">
            <w:pPr>
              <w:widowControl/>
              <w:jc w:val="center"/>
              <w:rPr>
                <w:kern w:val="0"/>
                <w:szCs w:val="21"/>
              </w:rPr>
            </w:pPr>
            <w:r>
              <w:rPr>
                <w:kern w:val="0"/>
                <w:szCs w:val="21"/>
              </w:rPr>
              <w:t>BH1216Ⅲ二路低本底α，β测量仪</w:t>
            </w:r>
          </w:p>
        </w:tc>
        <w:tc>
          <w:tcPr>
            <w:tcW w:w="1121" w:type="dxa"/>
            <w:tcBorders>
              <w:top w:val="nil"/>
              <w:left w:val="nil"/>
              <w:bottom w:val="single" w:color="auto" w:sz="4" w:space="0"/>
              <w:right w:val="single" w:color="auto" w:sz="4" w:space="0"/>
            </w:tcBorders>
            <w:noWrap/>
            <w:vAlign w:val="center"/>
          </w:tcPr>
          <w:p w14:paraId="796FBED8">
            <w:pPr>
              <w:widowControl/>
              <w:jc w:val="center"/>
              <w:rPr>
                <w:kern w:val="0"/>
                <w:szCs w:val="21"/>
              </w:rPr>
            </w:pPr>
            <w:r>
              <w:rPr>
                <w:kern w:val="0"/>
                <w:szCs w:val="21"/>
              </w:rPr>
              <w:t>—</w:t>
            </w:r>
          </w:p>
        </w:tc>
      </w:tr>
      <w:tr w14:paraId="3376DBA0">
        <w:tblPrEx>
          <w:tblCellMar>
            <w:top w:w="0" w:type="dxa"/>
            <w:left w:w="108" w:type="dxa"/>
            <w:bottom w:w="0" w:type="dxa"/>
            <w:right w:w="108" w:type="dxa"/>
          </w:tblCellMar>
        </w:tblPrEx>
        <w:trPr>
          <w:trHeight w:val="365" w:hRule="atLeast"/>
          <w:jc w:val="center"/>
        </w:trPr>
        <w:tc>
          <w:tcPr>
            <w:tcW w:w="1060" w:type="dxa"/>
            <w:vMerge w:val="continue"/>
            <w:tcBorders>
              <w:top w:val="nil"/>
              <w:left w:val="single" w:color="auto" w:sz="4" w:space="0"/>
              <w:bottom w:val="single" w:color="auto" w:sz="4" w:space="0"/>
              <w:right w:val="single" w:color="auto" w:sz="4" w:space="0"/>
            </w:tcBorders>
            <w:vAlign w:val="center"/>
          </w:tcPr>
          <w:p w14:paraId="50476FDA">
            <w:pPr>
              <w:widowControl/>
              <w:jc w:val="center"/>
              <w:rPr>
                <w:kern w:val="0"/>
                <w:szCs w:val="21"/>
              </w:rPr>
            </w:pPr>
          </w:p>
        </w:tc>
        <w:tc>
          <w:tcPr>
            <w:tcW w:w="1060" w:type="dxa"/>
            <w:tcBorders>
              <w:top w:val="nil"/>
              <w:left w:val="nil"/>
              <w:bottom w:val="single" w:color="auto" w:sz="4" w:space="0"/>
              <w:right w:val="single" w:color="auto" w:sz="4" w:space="0"/>
            </w:tcBorders>
            <w:noWrap/>
            <w:vAlign w:val="center"/>
          </w:tcPr>
          <w:p w14:paraId="5F9ADEDA">
            <w:pPr>
              <w:widowControl/>
              <w:jc w:val="center"/>
              <w:rPr>
                <w:kern w:val="0"/>
                <w:szCs w:val="21"/>
              </w:rPr>
            </w:pPr>
            <w:r>
              <w:rPr>
                <w:kern w:val="0"/>
                <w:szCs w:val="21"/>
              </w:rPr>
              <w:t>总β</w:t>
            </w:r>
          </w:p>
        </w:tc>
        <w:tc>
          <w:tcPr>
            <w:tcW w:w="2270" w:type="dxa"/>
            <w:vMerge w:val="continue"/>
            <w:tcBorders>
              <w:top w:val="single" w:color="auto" w:sz="4" w:space="0"/>
              <w:left w:val="nil"/>
              <w:bottom w:val="single" w:color="auto" w:sz="4" w:space="0"/>
              <w:right w:val="single" w:color="auto" w:sz="4" w:space="0"/>
            </w:tcBorders>
            <w:noWrap/>
            <w:vAlign w:val="center"/>
          </w:tcPr>
          <w:p w14:paraId="5364372C">
            <w:pPr>
              <w:widowControl/>
              <w:jc w:val="center"/>
              <w:rPr>
                <w:kern w:val="0"/>
                <w:szCs w:val="21"/>
              </w:rPr>
            </w:pPr>
          </w:p>
        </w:tc>
        <w:tc>
          <w:tcPr>
            <w:tcW w:w="2785" w:type="dxa"/>
            <w:vMerge w:val="continue"/>
            <w:tcBorders>
              <w:top w:val="single" w:color="auto" w:sz="4" w:space="0"/>
              <w:left w:val="nil"/>
              <w:bottom w:val="single" w:color="auto" w:sz="4" w:space="0"/>
              <w:right w:val="single" w:color="auto" w:sz="4" w:space="0"/>
            </w:tcBorders>
            <w:vAlign w:val="center"/>
          </w:tcPr>
          <w:p w14:paraId="46A574FE">
            <w:pPr>
              <w:widowControl/>
              <w:jc w:val="center"/>
              <w:rPr>
                <w:kern w:val="0"/>
                <w:szCs w:val="21"/>
              </w:rPr>
            </w:pPr>
          </w:p>
        </w:tc>
        <w:tc>
          <w:tcPr>
            <w:tcW w:w="1121" w:type="dxa"/>
            <w:tcBorders>
              <w:top w:val="nil"/>
              <w:left w:val="nil"/>
              <w:bottom w:val="single" w:color="auto" w:sz="4" w:space="0"/>
              <w:right w:val="single" w:color="auto" w:sz="4" w:space="0"/>
            </w:tcBorders>
            <w:noWrap/>
            <w:vAlign w:val="center"/>
          </w:tcPr>
          <w:p w14:paraId="5485FE3A">
            <w:pPr>
              <w:widowControl/>
              <w:jc w:val="center"/>
              <w:rPr>
                <w:kern w:val="0"/>
                <w:szCs w:val="21"/>
              </w:rPr>
            </w:pPr>
            <w:r>
              <w:rPr>
                <w:kern w:val="0"/>
                <w:szCs w:val="21"/>
              </w:rPr>
              <w:t>—</w:t>
            </w:r>
          </w:p>
        </w:tc>
      </w:tr>
      <w:tr w14:paraId="20157EFB">
        <w:tblPrEx>
          <w:tblCellMar>
            <w:top w:w="0" w:type="dxa"/>
            <w:left w:w="108" w:type="dxa"/>
            <w:bottom w:w="0" w:type="dxa"/>
            <w:right w:w="108" w:type="dxa"/>
          </w:tblCellMar>
        </w:tblPrEx>
        <w:trPr>
          <w:trHeight w:val="579" w:hRule="atLeast"/>
          <w:jc w:val="center"/>
        </w:trPr>
        <w:tc>
          <w:tcPr>
            <w:tcW w:w="1060" w:type="dxa"/>
            <w:vMerge w:val="restart"/>
            <w:tcBorders>
              <w:top w:val="single" w:color="auto" w:sz="4" w:space="0"/>
              <w:left w:val="single" w:color="auto" w:sz="4" w:space="0"/>
              <w:bottom w:val="single" w:color="auto" w:sz="4" w:space="0"/>
              <w:right w:val="single" w:color="auto" w:sz="4" w:space="0"/>
            </w:tcBorders>
            <w:noWrap/>
            <w:vAlign w:val="center"/>
          </w:tcPr>
          <w:p w14:paraId="71D459D2">
            <w:pPr>
              <w:widowControl/>
              <w:jc w:val="center"/>
              <w:rPr>
                <w:kern w:val="0"/>
                <w:szCs w:val="21"/>
              </w:rPr>
            </w:pPr>
            <w:r>
              <w:rPr>
                <w:kern w:val="0"/>
                <w:szCs w:val="21"/>
              </w:rPr>
              <w:t>水样</w:t>
            </w:r>
          </w:p>
        </w:tc>
        <w:tc>
          <w:tcPr>
            <w:tcW w:w="1060" w:type="dxa"/>
            <w:tcBorders>
              <w:top w:val="single" w:color="auto" w:sz="4" w:space="0"/>
              <w:left w:val="nil"/>
              <w:bottom w:val="single" w:color="auto" w:sz="4" w:space="0"/>
              <w:right w:val="single" w:color="auto" w:sz="4" w:space="0"/>
            </w:tcBorders>
            <w:noWrap/>
            <w:vAlign w:val="center"/>
          </w:tcPr>
          <w:p w14:paraId="7A86BF2D">
            <w:pPr>
              <w:widowControl/>
              <w:jc w:val="center"/>
              <w:rPr>
                <w:kern w:val="0"/>
                <w:szCs w:val="21"/>
              </w:rPr>
            </w:pPr>
            <w:r>
              <w:rPr>
                <w:color w:val="000000"/>
                <w:szCs w:val="21"/>
                <w:vertAlign w:val="superscript"/>
              </w:rPr>
              <w:t>3</w:t>
            </w:r>
            <w:r>
              <w:rPr>
                <w:color w:val="000000"/>
                <w:szCs w:val="21"/>
              </w:rPr>
              <w:t>H</w:t>
            </w:r>
          </w:p>
        </w:tc>
        <w:tc>
          <w:tcPr>
            <w:tcW w:w="2270" w:type="dxa"/>
            <w:tcBorders>
              <w:top w:val="single" w:color="auto" w:sz="4" w:space="0"/>
              <w:left w:val="nil"/>
              <w:bottom w:val="single" w:color="auto" w:sz="4" w:space="0"/>
              <w:right w:val="single" w:color="auto" w:sz="4" w:space="0"/>
            </w:tcBorders>
            <w:noWrap/>
            <w:vAlign w:val="center"/>
          </w:tcPr>
          <w:p w14:paraId="1E612526">
            <w:pPr>
              <w:widowControl/>
              <w:jc w:val="center"/>
              <w:rPr>
                <w:kern w:val="0"/>
                <w:szCs w:val="21"/>
              </w:rPr>
            </w:pPr>
            <w:r>
              <w:rPr>
                <w:kern w:val="0"/>
                <w:szCs w:val="21"/>
              </w:rPr>
              <w:t>2024年9月14日~2026年9月14日</w:t>
            </w:r>
          </w:p>
        </w:tc>
        <w:tc>
          <w:tcPr>
            <w:tcW w:w="2785" w:type="dxa"/>
            <w:tcBorders>
              <w:top w:val="single" w:color="auto" w:sz="4" w:space="0"/>
              <w:left w:val="nil"/>
              <w:bottom w:val="single" w:color="auto" w:sz="4" w:space="0"/>
              <w:right w:val="single" w:color="auto" w:sz="4" w:space="0"/>
            </w:tcBorders>
            <w:vAlign w:val="center"/>
          </w:tcPr>
          <w:p w14:paraId="0FDAE9C4">
            <w:pPr>
              <w:widowControl/>
              <w:jc w:val="center"/>
              <w:rPr>
                <w:kern w:val="0"/>
                <w:szCs w:val="21"/>
              </w:rPr>
            </w:pPr>
            <w:r>
              <w:rPr>
                <w:kern w:val="0"/>
                <w:szCs w:val="21"/>
              </w:rPr>
              <w:t>LSC-LB7液体闪烁仪</w:t>
            </w:r>
          </w:p>
        </w:tc>
        <w:tc>
          <w:tcPr>
            <w:tcW w:w="1121" w:type="dxa"/>
            <w:tcBorders>
              <w:top w:val="single" w:color="auto" w:sz="4" w:space="0"/>
              <w:left w:val="nil"/>
              <w:bottom w:val="single" w:color="auto" w:sz="4" w:space="0"/>
              <w:right w:val="single" w:color="auto" w:sz="4" w:space="0"/>
            </w:tcBorders>
            <w:noWrap/>
            <w:vAlign w:val="center"/>
          </w:tcPr>
          <w:p w14:paraId="5C46B834">
            <w:pPr>
              <w:widowControl/>
              <w:jc w:val="center"/>
              <w:rPr>
                <w:kern w:val="0"/>
                <w:szCs w:val="21"/>
              </w:rPr>
            </w:pPr>
            <w:r>
              <w:rPr>
                <w:kern w:val="0"/>
                <w:szCs w:val="21"/>
              </w:rPr>
              <w:t>0.25 Bq/L</w:t>
            </w:r>
          </w:p>
        </w:tc>
      </w:tr>
      <w:tr w14:paraId="317E7A73">
        <w:tblPrEx>
          <w:tblCellMar>
            <w:top w:w="0" w:type="dxa"/>
            <w:left w:w="108" w:type="dxa"/>
            <w:bottom w:w="0" w:type="dxa"/>
            <w:right w:w="108" w:type="dxa"/>
          </w:tblCellMar>
        </w:tblPrEx>
        <w:trPr>
          <w:trHeight w:val="579" w:hRule="atLeast"/>
          <w:jc w:val="center"/>
        </w:trPr>
        <w:tc>
          <w:tcPr>
            <w:tcW w:w="1060" w:type="dxa"/>
            <w:vMerge w:val="continue"/>
            <w:tcBorders>
              <w:top w:val="single" w:color="auto" w:sz="4" w:space="0"/>
              <w:left w:val="single" w:color="auto" w:sz="4" w:space="0"/>
              <w:bottom w:val="single" w:color="auto" w:sz="4" w:space="0"/>
              <w:right w:val="single" w:color="auto" w:sz="4" w:space="0"/>
            </w:tcBorders>
            <w:noWrap/>
            <w:vAlign w:val="center"/>
          </w:tcPr>
          <w:p w14:paraId="4C68EF3F">
            <w:pPr>
              <w:widowControl/>
              <w:jc w:val="center"/>
              <w:rPr>
                <w:kern w:val="0"/>
                <w:szCs w:val="21"/>
              </w:rPr>
            </w:pPr>
          </w:p>
        </w:tc>
        <w:tc>
          <w:tcPr>
            <w:tcW w:w="1060" w:type="dxa"/>
            <w:tcBorders>
              <w:top w:val="single" w:color="auto" w:sz="4" w:space="0"/>
              <w:left w:val="nil"/>
              <w:bottom w:val="single" w:color="auto" w:sz="4" w:space="0"/>
              <w:right w:val="single" w:color="auto" w:sz="4" w:space="0"/>
            </w:tcBorders>
            <w:noWrap/>
            <w:vAlign w:val="center"/>
          </w:tcPr>
          <w:p w14:paraId="70AF2571">
            <w:pPr>
              <w:widowControl/>
              <w:jc w:val="center"/>
              <w:rPr>
                <w:kern w:val="0"/>
                <w:szCs w:val="21"/>
                <w:vertAlign w:val="superscript"/>
              </w:rPr>
            </w:pPr>
            <w:r>
              <w:rPr>
                <w:color w:val="000000"/>
                <w:szCs w:val="21"/>
                <w:vertAlign w:val="superscript"/>
              </w:rPr>
              <w:t>7</w:t>
            </w:r>
            <w:r>
              <w:rPr>
                <w:color w:val="000000"/>
                <w:szCs w:val="21"/>
              </w:rPr>
              <w:t>Be</w:t>
            </w:r>
          </w:p>
        </w:tc>
        <w:tc>
          <w:tcPr>
            <w:tcW w:w="2270" w:type="dxa"/>
            <w:tcBorders>
              <w:top w:val="single" w:color="auto" w:sz="4" w:space="0"/>
              <w:left w:val="nil"/>
              <w:bottom w:val="single" w:color="auto" w:sz="4" w:space="0"/>
              <w:right w:val="single" w:color="auto" w:sz="4" w:space="0"/>
            </w:tcBorders>
            <w:noWrap/>
            <w:vAlign w:val="center"/>
          </w:tcPr>
          <w:p w14:paraId="0A3C4CED">
            <w:pPr>
              <w:widowControl/>
              <w:jc w:val="center"/>
              <w:rPr>
                <w:kern w:val="0"/>
                <w:szCs w:val="21"/>
              </w:rPr>
            </w:pPr>
            <w:r>
              <w:rPr>
                <w:kern w:val="0"/>
                <w:szCs w:val="21"/>
              </w:rPr>
              <w:t>2024年1月31日~2026年1月31日</w:t>
            </w:r>
          </w:p>
        </w:tc>
        <w:tc>
          <w:tcPr>
            <w:tcW w:w="2785" w:type="dxa"/>
            <w:tcBorders>
              <w:top w:val="single" w:color="auto" w:sz="4" w:space="0"/>
              <w:left w:val="nil"/>
              <w:bottom w:val="single" w:color="auto" w:sz="4" w:space="0"/>
              <w:right w:val="single" w:color="auto" w:sz="4" w:space="0"/>
            </w:tcBorders>
            <w:vAlign w:val="center"/>
          </w:tcPr>
          <w:p w14:paraId="465FD0BA">
            <w:pPr>
              <w:widowControl/>
              <w:jc w:val="center"/>
              <w:rPr>
                <w:kern w:val="0"/>
                <w:szCs w:val="21"/>
              </w:rPr>
            </w:pPr>
            <w:r>
              <w:rPr>
                <w:kern w:val="0"/>
                <w:szCs w:val="21"/>
              </w:rPr>
              <w:t>GMX50-83-SV低本底高纯锗γ能谱仪</w:t>
            </w:r>
          </w:p>
        </w:tc>
        <w:tc>
          <w:tcPr>
            <w:tcW w:w="1121" w:type="dxa"/>
            <w:tcBorders>
              <w:top w:val="single" w:color="auto" w:sz="4" w:space="0"/>
              <w:left w:val="nil"/>
              <w:bottom w:val="single" w:color="auto" w:sz="4" w:space="0"/>
              <w:right w:val="single" w:color="auto" w:sz="4" w:space="0"/>
            </w:tcBorders>
            <w:noWrap/>
            <w:vAlign w:val="center"/>
          </w:tcPr>
          <w:p w14:paraId="64D744FD">
            <w:pPr>
              <w:widowControl/>
              <w:jc w:val="center"/>
              <w:rPr>
                <w:kern w:val="0"/>
                <w:szCs w:val="21"/>
              </w:rPr>
            </w:pPr>
            <w:r>
              <w:rPr>
                <w:kern w:val="0"/>
                <w:szCs w:val="21"/>
              </w:rPr>
              <w:t>2.69 Bq/L</w:t>
            </w:r>
          </w:p>
        </w:tc>
      </w:tr>
      <w:tr w14:paraId="0425FB59">
        <w:tblPrEx>
          <w:tblCellMar>
            <w:top w:w="0" w:type="dxa"/>
            <w:left w:w="108" w:type="dxa"/>
            <w:bottom w:w="0" w:type="dxa"/>
            <w:right w:w="108" w:type="dxa"/>
          </w:tblCellMar>
        </w:tblPrEx>
        <w:trPr>
          <w:trHeight w:val="365" w:hRule="atLeast"/>
          <w:jc w:val="center"/>
        </w:trPr>
        <w:tc>
          <w:tcPr>
            <w:tcW w:w="1060" w:type="dxa"/>
            <w:vMerge w:val="continue"/>
            <w:tcBorders>
              <w:top w:val="single" w:color="auto" w:sz="4" w:space="0"/>
              <w:left w:val="single" w:color="auto" w:sz="4" w:space="0"/>
              <w:bottom w:val="single" w:color="auto" w:sz="4" w:space="0"/>
              <w:right w:val="single" w:color="auto" w:sz="4" w:space="0"/>
            </w:tcBorders>
            <w:vAlign w:val="center"/>
          </w:tcPr>
          <w:p w14:paraId="73B51FB9">
            <w:pPr>
              <w:widowControl/>
              <w:jc w:val="center"/>
              <w:rPr>
                <w:kern w:val="0"/>
                <w:szCs w:val="21"/>
              </w:rPr>
            </w:pPr>
          </w:p>
        </w:tc>
        <w:tc>
          <w:tcPr>
            <w:tcW w:w="1060" w:type="dxa"/>
            <w:tcBorders>
              <w:top w:val="single" w:color="auto" w:sz="4" w:space="0"/>
              <w:left w:val="nil"/>
              <w:bottom w:val="single" w:color="auto" w:sz="4" w:space="0"/>
              <w:right w:val="single" w:color="auto" w:sz="4" w:space="0"/>
            </w:tcBorders>
            <w:shd w:val="clear" w:color="000000" w:fill="FFFFFF"/>
            <w:noWrap/>
            <w:vAlign w:val="center"/>
          </w:tcPr>
          <w:p w14:paraId="068EF36C">
            <w:pPr>
              <w:widowControl/>
              <w:jc w:val="center"/>
              <w:rPr>
                <w:kern w:val="0"/>
                <w:szCs w:val="21"/>
              </w:rPr>
            </w:pPr>
            <w:r>
              <w:rPr>
                <w:kern w:val="0"/>
                <w:szCs w:val="21"/>
              </w:rPr>
              <w:t>总α</w:t>
            </w:r>
          </w:p>
        </w:tc>
        <w:tc>
          <w:tcPr>
            <w:tcW w:w="2270" w:type="dxa"/>
            <w:vMerge w:val="restart"/>
            <w:tcBorders>
              <w:top w:val="single" w:color="auto" w:sz="4" w:space="0"/>
              <w:left w:val="nil"/>
              <w:bottom w:val="single" w:color="auto" w:sz="4" w:space="0"/>
              <w:right w:val="single" w:color="auto" w:sz="4" w:space="0"/>
            </w:tcBorders>
            <w:noWrap/>
            <w:vAlign w:val="center"/>
          </w:tcPr>
          <w:p w14:paraId="351D2969">
            <w:pPr>
              <w:widowControl/>
              <w:jc w:val="center"/>
              <w:rPr>
                <w:kern w:val="0"/>
                <w:szCs w:val="21"/>
              </w:rPr>
            </w:pPr>
            <w:r>
              <w:rPr>
                <w:kern w:val="0"/>
                <w:szCs w:val="21"/>
              </w:rPr>
              <w:t>2024年1月31日~2026年1月31日</w:t>
            </w:r>
          </w:p>
        </w:tc>
        <w:tc>
          <w:tcPr>
            <w:tcW w:w="2785" w:type="dxa"/>
            <w:vMerge w:val="restart"/>
            <w:tcBorders>
              <w:top w:val="single" w:color="auto" w:sz="4" w:space="0"/>
              <w:left w:val="nil"/>
              <w:bottom w:val="single" w:color="auto" w:sz="4" w:space="0"/>
              <w:right w:val="single" w:color="auto" w:sz="4" w:space="0"/>
            </w:tcBorders>
            <w:vAlign w:val="center"/>
          </w:tcPr>
          <w:p w14:paraId="3ACA7D4F">
            <w:pPr>
              <w:widowControl/>
              <w:jc w:val="center"/>
              <w:rPr>
                <w:kern w:val="0"/>
                <w:szCs w:val="21"/>
              </w:rPr>
            </w:pPr>
            <w:r>
              <w:rPr>
                <w:kern w:val="0"/>
                <w:szCs w:val="21"/>
              </w:rPr>
              <w:t>BH1216Ⅲ二路低本底α，β测量仪</w:t>
            </w:r>
          </w:p>
        </w:tc>
        <w:tc>
          <w:tcPr>
            <w:tcW w:w="1121" w:type="dxa"/>
            <w:tcBorders>
              <w:top w:val="single" w:color="auto" w:sz="4" w:space="0"/>
              <w:left w:val="nil"/>
              <w:bottom w:val="single" w:color="auto" w:sz="4" w:space="0"/>
              <w:right w:val="single" w:color="auto" w:sz="4" w:space="0"/>
            </w:tcBorders>
            <w:noWrap/>
            <w:vAlign w:val="center"/>
          </w:tcPr>
          <w:p w14:paraId="05360337">
            <w:pPr>
              <w:widowControl/>
              <w:jc w:val="center"/>
              <w:rPr>
                <w:kern w:val="0"/>
                <w:szCs w:val="21"/>
              </w:rPr>
            </w:pPr>
            <w:r>
              <w:rPr>
                <w:kern w:val="0"/>
                <w:szCs w:val="21"/>
              </w:rPr>
              <w:t>0.043Bq/L</w:t>
            </w:r>
          </w:p>
        </w:tc>
      </w:tr>
      <w:tr w14:paraId="780290A3">
        <w:tblPrEx>
          <w:tblCellMar>
            <w:top w:w="0" w:type="dxa"/>
            <w:left w:w="108" w:type="dxa"/>
            <w:bottom w:w="0" w:type="dxa"/>
            <w:right w:w="108" w:type="dxa"/>
          </w:tblCellMar>
        </w:tblPrEx>
        <w:trPr>
          <w:trHeight w:val="271" w:hRule="atLeast"/>
          <w:jc w:val="center"/>
        </w:trPr>
        <w:tc>
          <w:tcPr>
            <w:tcW w:w="1060" w:type="dxa"/>
            <w:vMerge w:val="continue"/>
            <w:tcBorders>
              <w:top w:val="single" w:color="auto" w:sz="4" w:space="0"/>
              <w:left w:val="single" w:color="auto" w:sz="4" w:space="0"/>
              <w:bottom w:val="single" w:color="auto" w:sz="4" w:space="0"/>
              <w:right w:val="single" w:color="auto" w:sz="4" w:space="0"/>
            </w:tcBorders>
            <w:vAlign w:val="center"/>
          </w:tcPr>
          <w:p w14:paraId="402838CF">
            <w:pPr>
              <w:widowControl/>
              <w:jc w:val="center"/>
              <w:rPr>
                <w:kern w:val="0"/>
                <w:szCs w:val="21"/>
              </w:rPr>
            </w:pPr>
          </w:p>
        </w:tc>
        <w:tc>
          <w:tcPr>
            <w:tcW w:w="1060" w:type="dxa"/>
            <w:tcBorders>
              <w:top w:val="single" w:color="auto" w:sz="4" w:space="0"/>
              <w:left w:val="nil"/>
              <w:bottom w:val="single" w:color="auto" w:sz="4" w:space="0"/>
              <w:right w:val="single" w:color="auto" w:sz="4" w:space="0"/>
            </w:tcBorders>
            <w:shd w:val="clear" w:color="000000" w:fill="FFFFFF"/>
            <w:noWrap/>
            <w:vAlign w:val="center"/>
          </w:tcPr>
          <w:p w14:paraId="62182EDF">
            <w:pPr>
              <w:widowControl/>
              <w:jc w:val="center"/>
              <w:rPr>
                <w:kern w:val="0"/>
                <w:szCs w:val="21"/>
              </w:rPr>
            </w:pPr>
            <w:r>
              <w:rPr>
                <w:kern w:val="0"/>
                <w:szCs w:val="21"/>
              </w:rPr>
              <w:t>总β</w:t>
            </w:r>
          </w:p>
        </w:tc>
        <w:tc>
          <w:tcPr>
            <w:tcW w:w="2270" w:type="dxa"/>
            <w:vMerge w:val="continue"/>
            <w:tcBorders>
              <w:top w:val="single" w:color="auto" w:sz="4" w:space="0"/>
              <w:left w:val="nil"/>
              <w:bottom w:val="single" w:color="auto" w:sz="4" w:space="0"/>
              <w:right w:val="single" w:color="auto" w:sz="4" w:space="0"/>
            </w:tcBorders>
            <w:noWrap/>
            <w:vAlign w:val="center"/>
          </w:tcPr>
          <w:p w14:paraId="54CAFA66">
            <w:pPr>
              <w:widowControl/>
              <w:jc w:val="center"/>
              <w:rPr>
                <w:kern w:val="0"/>
                <w:szCs w:val="21"/>
              </w:rPr>
            </w:pPr>
          </w:p>
        </w:tc>
        <w:tc>
          <w:tcPr>
            <w:tcW w:w="2785" w:type="dxa"/>
            <w:vMerge w:val="continue"/>
            <w:tcBorders>
              <w:top w:val="single" w:color="auto" w:sz="4" w:space="0"/>
              <w:left w:val="nil"/>
              <w:bottom w:val="single" w:color="auto" w:sz="4" w:space="0"/>
              <w:right w:val="single" w:color="auto" w:sz="4" w:space="0"/>
            </w:tcBorders>
            <w:vAlign w:val="center"/>
          </w:tcPr>
          <w:p w14:paraId="09F50FA6">
            <w:pPr>
              <w:widowControl/>
              <w:jc w:val="center"/>
              <w:rPr>
                <w:kern w:val="0"/>
                <w:szCs w:val="21"/>
              </w:rPr>
            </w:pPr>
          </w:p>
        </w:tc>
        <w:tc>
          <w:tcPr>
            <w:tcW w:w="1121" w:type="dxa"/>
            <w:tcBorders>
              <w:top w:val="single" w:color="auto" w:sz="4" w:space="0"/>
              <w:left w:val="nil"/>
              <w:bottom w:val="single" w:color="auto" w:sz="4" w:space="0"/>
              <w:right w:val="single" w:color="auto" w:sz="4" w:space="0"/>
            </w:tcBorders>
            <w:noWrap/>
            <w:vAlign w:val="center"/>
          </w:tcPr>
          <w:p w14:paraId="1965F8B2">
            <w:pPr>
              <w:widowControl/>
              <w:jc w:val="center"/>
              <w:rPr>
                <w:kern w:val="0"/>
                <w:szCs w:val="21"/>
              </w:rPr>
            </w:pPr>
            <w:r>
              <w:rPr>
                <w:kern w:val="0"/>
                <w:szCs w:val="21"/>
              </w:rPr>
              <w:t>0.015Bq/L</w:t>
            </w:r>
          </w:p>
        </w:tc>
      </w:tr>
      <w:tr w14:paraId="3E844DCA">
        <w:tblPrEx>
          <w:tblCellMar>
            <w:top w:w="0" w:type="dxa"/>
            <w:left w:w="108" w:type="dxa"/>
            <w:bottom w:w="0" w:type="dxa"/>
            <w:right w:w="108" w:type="dxa"/>
          </w:tblCellMar>
        </w:tblPrEx>
        <w:trPr>
          <w:trHeight w:val="271" w:hRule="atLeast"/>
          <w:jc w:val="center"/>
        </w:trPr>
        <w:tc>
          <w:tcPr>
            <w:tcW w:w="1060" w:type="dxa"/>
            <w:vMerge w:val="restart"/>
            <w:tcBorders>
              <w:top w:val="single" w:color="auto" w:sz="4" w:space="0"/>
              <w:left w:val="single" w:color="auto" w:sz="4" w:space="0"/>
              <w:right w:val="single" w:color="auto" w:sz="4" w:space="0"/>
            </w:tcBorders>
            <w:vAlign w:val="center"/>
          </w:tcPr>
          <w:p w14:paraId="1573C477">
            <w:pPr>
              <w:widowControl/>
              <w:jc w:val="center"/>
              <w:rPr>
                <w:kern w:val="0"/>
                <w:szCs w:val="21"/>
              </w:rPr>
            </w:pPr>
            <w:r>
              <w:rPr>
                <w:kern w:val="0"/>
                <w:szCs w:val="21"/>
              </w:rPr>
              <w:t>外照射</w:t>
            </w:r>
          </w:p>
        </w:tc>
        <w:tc>
          <w:tcPr>
            <w:tcW w:w="1060" w:type="dxa"/>
            <w:tcBorders>
              <w:top w:val="single" w:color="auto" w:sz="4" w:space="0"/>
              <w:left w:val="nil"/>
              <w:bottom w:val="single" w:color="auto" w:sz="4" w:space="0"/>
              <w:right w:val="single" w:color="auto" w:sz="4" w:space="0"/>
            </w:tcBorders>
            <w:shd w:val="clear" w:color="000000" w:fill="FFFFFF"/>
            <w:noWrap/>
            <w:vAlign w:val="center"/>
          </w:tcPr>
          <w:p w14:paraId="1544B777">
            <w:pPr>
              <w:widowControl/>
              <w:jc w:val="center"/>
              <w:rPr>
                <w:kern w:val="0"/>
                <w:szCs w:val="21"/>
              </w:rPr>
            </w:pPr>
            <w:r>
              <w:rPr>
                <w:kern w:val="0"/>
                <w:szCs w:val="21"/>
              </w:rPr>
              <w:t>X、γ辐射剂量率</w:t>
            </w:r>
          </w:p>
        </w:tc>
        <w:tc>
          <w:tcPr>
            <w:tcW w:w="2270" w:type="dxa"/>
            <w:tcBorders>
              <w:top w:val="single" w:color="auto" w:sz="4" w:space="0"/>
              <w:left w:val="nil"/>
              <w:bottom w:val="single" w:color="auto" w:sz="4" w:space="0"/>
              <w:right w:val="single" w:color="auto" w:sz="4" w:space="0"/>
            </w:tcBorders>
            <w:noWrap/>
            <w:vAlign w:val="center"/>
          </w:tcPr>
          <w:p w14:paraId="083F067B">
            <w:pPr>
              <w:widowControl/>
              <w:jc w:val="center"/>
              <w:rPr>
                <w:kern w:val="0"/>
                <w:szCs w:val="21"/>
              </w:rPr>
            </w:pPr>
            <w:r>
              <w:rPr>
                <w:kern w:val="0"/>
                <w:szCs w:val="21"/>
              </w:rPr>
              <w:t>2025年6月10日~2026年6月9日</w:t>
            </w:r>
          </w:p>
        </w:tc>
        <w:tc>
          <w:tcPr>
            <w:tcW w:w="2785" w:type="dxa"/>
            <w:tcBorders>
              <w:top w:val="single" w:color="auto" w:sz="4" w:space="0"/>
              <w:left w:val="nil"/>
              <w:bottom w:val="single" w:color="auto" w:sz="4" w:space="0"/>
              <w:right w:val="single" w:color="auto" w:sz="4" w:space="0"/>
            </w:tcBorders>
            <w:vAlign w:val="center"/>
          </w:tcPr>
          <w:p w14:paraId="74E863A3">
            <w:pPr>
              <w:widowControl/>
              <w:jc w:val="center"/>
              <w:rPr>
                <w:kern w:val="0"/>
                <w:szCs w:val="21"/>
              </w:rPr>
            </w:pPr>
            <w:r>
              <w:rPr>
                <w:kern w:val="0"/>
                <w:szCs w:val="21"/>
              </w:rPr>
              <w:t>主机6150AD6/H+探头615AD-b/H</w:t>
            </w:r>
          </w:p>
        </w:tc>
        <w:tc>
          <w:tcPr>
            <w:tcW w:w="1121" w:type="dxa"/>
            <w:tcBorders>
              <w:top w:val="single" w:color="auto" w:sz="4" w:space="0"/>
              <w:left w:val="nil"/>
              <w:bottom w:val="single" w:color="auto" w:sz="4" w:space="0"/>
              <w:right w:val="single" w:color="auto" w:sz="4" w:space="0"/>
            </w:tcBorders>
            <w:noWrap/>
            <w:vAlign w:val="center"/>
          </w:tcPr>
          <w:p w14:paraId="124364F2">
            <w:pPr>
              <w:widowControl/>
              <w:jc w:val="center"/>
              <w:rPr>
                <w:kern w:val="0"/>
                <w:szCs w:val="21"/>
              </w:rPr>
            </w:pPr>
            <w:r>
              <w:rPr>
                <w:kern w:val="0"/>
                <w:szCs w:val="21"/>
              </w:rPr>
              <w:t>5nSv/h</w:t>
            </w:r>
          </w:p>
        </w:tc>
      </w:tr>
      <w:tr w14:paraId="04D7FA29">
        <w:tblPrEx>
          <w:tblCellMar>
            <w:top w:w="0" w:type="dxa"/>
            <w:left w:w="108" w:type="dxa"/>
            <w:bottom w:w="0" w:type="dxa"/>
            <w:right w:w="108" w:type="dxa"/>
          </w:tblCellMar>
        </w:tblPrEx>
        <w:trPr>
          <w:trHeight w:val="271" w:hRule="atLeast"/>
          <w:jc w:val="center"/>
        </w:trPr>
        <w:tc>
          <w:tcPr>
            <w:tcW w:w="1060" w:type="dxa"/>
            <w:vMerge w:val="continue"/>
            <w:tcBorders>
              <w:left w:val="single" w:color="auto" w:sz="4" w:space="0"/>
              <w:bottom w:val="single" w:color="auto" w:sz="4" w:space="0"/>
              <w:right w:val="single" w:color="auto" w:sz="4" w:space="0"/>
            </w:tcBorders>
            <w:vAlign w:val="center"/>
          </w:tcPr>
          <w:p w14:paraId="74A908DC">
            <w:pPr>
              <w:widowControl/>
              <w:jc w:val="center"/>
              <w:rPr>
                <w:kern w:val="0"/>
                <w:szCs w:val="21"/>
              </w:rPr>
            </w:pPr>
          </w:p>
        </w:tc>
        <w:tc>
          <w:tcPr>
            <w:tcW w:w="1060" w:type="dxa"/>
            <w:tcBorders>
              <w:top w:val="single" w:color="auto" w:sz="4" w:space="0"/>
              <w:left w:val="nil"/>
              <w:bottom w:val="single" w:color="auto" w:sz="4" w:space="0"/>
              <w:right w:val="single" w:color="auto" w:sz="4" w:space="0"/>
            </w:tcBorders>
            <w:shd w:val="clear" w:color="000000" w:fill="FFFFFF"/>
            <w:noWrap/>
            <w:vAlign w:val="center"/>
          </w:tcPr>
          <w:p w14:paraId="13C5CEE5">
            <w:pPr>
              <w:widowControl/>
              <w:jc w:val="center"/>
              <w:rPr>
                <w:kern w:val="0"/>
                <w:szCs w:val="21"/>
              </w:rPr>
            </w:pPr>
            <w:r>
              <w:rPr>
                <w:kern w:val="0"/>
                <w:szCs w:val="21"/>
              </w:rPr>
              <w:t>中子辐射剂量率</w:t>
            </w:r>
          </w:p>
        </w:tc>
        <w:tc>
          <w:tcPr>
            <w:tcW w:w="2270" w:type="dxa"/>
            <w:tcBorders>
              <w:top w:val="single" w:color="auto" w:sz="4" w:space="0"/>
              <w:left w:val="nil"/>
              <w:bottom w:val="single" w:color="auto" w:sz="4" w:space="0"/>
              <w:right w:val="single" w:color="auto" w:sz="4" w:space="0"/>
            </w:tcBorders>
            <w:noWrap/>
            <w:vAlign w:val="center"/>
          </w:tcPr>
          <w:p w14:paraId="269EDB1E">
            <w:pPr>
              <w:widowControl/>
              <w:jc w:val="center"/>
              <w:rPr>
                <w:kern w:val="0"/>
                <w:szCs w:val="21"/>
              </w:rPr>
            </w:pPr>
            <w:r>
              <w:rPr>
                <w:kern w:val="0"/>
                <w:szCs w:val="21"/>
              </w:rPr>
              <w:t>2025年5月16日~2026年6月15日</w:t>
            </w:r>
          </w:p>
        </w:tc>
        <w:tc>
          <w:tcPr>
            <w:tcW w:w="2785" w:type="dxa"/>
            <w:tcBorders>
              <w:top w:val="single" w:color="auto" w:sz="4" w:space="0"/>
              <w:left w:val="nil"/>
              <w:bottom w:val="single" w:color="auto" w:sz="4" w:space="0"/>
              <w:right w:val="single" w:color="auto" w:sz="4" w:space="0"/>
            </w:tcBorders>
            <w:vAlign w:val="center"/>
          </w:tcPr>
          <w:p w14:paraId="3748E305">
            <w:pPr>
              <w:widowControl/>
              <w:jc w:val="center"/>
              <w:rPr>
                <w:kern w:val="0"/>
                <w:szCs w:val="21"/>
              </w:rPr>
            </w:pPr>
            <w:r>
              <w:rPr>
                <w:kern w:val="0"/>
                <w:szCs w:val="21"/>
              </w:rPr>
              <w:t>AT1117M+BDKN01</w:t>
            </w:r>
          </w:p>
        </w:tc>
        <w:tc>
          <w:tcPr>
            <w:tcW w:w="1121" w:type="dxa"/>
            <w:tcBorders>
              <w:top w:val="single" w:color="auto" w:sz="4" w:space="0"/>
              <w:left w:val="nil"/>
              <w:bottom w:val="single" w:color="auto" w:sz="4" w:space="0"/>
              <w:right w:val="single" w:color="auto" w:sz="4" w:space="0"/>
            </w:tcBorders>
            <w:noWrap/>
            <w:vAlign w:val="center"/>
          </w:tcPr>
          <w:p w14:paraId="0239F77C">
            <w:pPr>
              <w:widowControl/>
              <w:jc w:val="center"/>
              <w:rPr>
                <w:kern w:val="0"/>
                <w:szCs w:val="21"/>
              </w:rPr>
            </w:pPr>
            <w:r>
              <w:rPr>
                <w:kern w:val="0"/>
                <w:szCs w:val="21"/>
              </w:rPr>
              <w:t>0.1μSv/h</w:t>
            </w:r>
          </w:p>
        </w:tc>
      </w:tr>
    </w:tbl>
    <w:p w14:paraId="6CA4AD84">
      <w:pPr>
        <w:rPr>
          <w:sz w:val="24"/>
          <w:highlight w:val="yellow"/>
          <w:lang w:val="zh-CN"/>
        </w:rPr>
      </w:pPr>
    </w:p>
    <w:p w14:paraId="04A1A1C0">
      <w:pPr>
        <w:pStyle w:val="6"/>
      </w:pPr>
      <w:r>
        <w:t>监测方法</w:t>
      </w:r>
    </w:p>
    <w:p w14:paraId="47C6F03B">
      <w:pPr>
        <w:pStyle w:val="8"/>
      </w:pPr>
      <w:r>
        <w:t>监测方法列于</w:t>
      </w:r>
      <w:r>
        <w:fldChar w:fldCharType="begin"/>
      </w:r>
      <w:r>
        <w:instrText xml:space="preserve"> REF _Ref56277944 \h  \* MERGEFORMAT </w:instrText>
      </w:r>
      <w:r>
        <w:fldChar w:fldCharType="separate"/>
      </w:r>
      <w:r>
        <w:t>表 2</w:t>
      </w:r>
      <w:r>
        <w:noBreakHyphen/>
      </w:r>
      <w:r>
        <w:t>3</w:t>
      </w:r>
      <w:r>
        <w:fldChar w:fldCharType="end"/>
      </w:r>
      <w:r>
        <w:rPr>
          <w:lang w:eastAsia="zh-CN"/>
        </w:rPr>
        <w:t>。</w:t>
      </w:r>
    </w:p>
    <w:p w14:paraId="35FAEB17">
      <w:pPr>
        <w:pStyle w:val="15"/>
        <w:keepNext/>
      </w:pPr>
      <w:bookmarkStart w:id="387" w:name="_Ref56277944"/>
      <w:bookmarkStart w:id="388" w:name="_Toc150973447"/>
      <w:r>
        <w:t xml:space="preserve">表 </w:t>
      </w:r>
      <w:r>
        <w:fldChar w:fldCharType="begin"/>
      </w:r>
      <w:r>
        <w:instrText xml:space="preserve"> STYLEREF 1 \s </w:instrText>
      </w:r>
      <w:r>
        <w:fldChar w:fldCharType="separate"/>
      </w:r>
      <w:r>
        <w:t>2</w:t>
      </w:r>
      <w:r>
        <w:fldChar w:fldCharType="end"/>
      </w:r>
      <w:r>
        <w:noBreakHyphen/>
      </w:r>
      <w:r>
        <w:fldChar w:fldCharType="begin"/>
      </w:r>
      <w:r>
        <w:instrText xml:space="preserve"> SEQ 表 \* ARABIC \s 1 </w:instrText>
      </w:r>
      <w:r>
        <w:fldChar w:fldCharType="separate"/>
      </w:r>
      <w:r>
        <w:t>3</w:t>
      </w:r>
      <w:r>
        <w:fldChar w:fldCharType="end"/>
      </w:r>
      <w:bookmarkEnd w:id="387"/>
      <w:r>
        <w:t>监测方法</w:t>
      </w:r>
      <w:bookmarkEnd w:id="388"/>
    </w:p>
    <w:tbl>
      <w:tblPr>
        <w:tblStyle w:val="45"/>
        <w:tblW w:w="5000" w:type="pct"/>
        <w:jc w:val="center"/>
        <w:tblLayout w:type="autofit"/>
        <w:tblCellMar>
          <w:top w:w="0" w:type="dxa"/>
          <w:left w:w="108" w:type="dxa"/>
          <w:bottom w:w="0" w:type="dxa"/>
          <w:right w:w="108" w:type="dxa"/>
        </w:tblCellMar>
      </w:tblPr>
      <w:tblGrid>
        <w:gridCol w:w="2328"/>
        <w:gridCol w:w="2327"/>
        <w:gridCol w:w="3867"/>
      </w:tblGrid>
      <w:tr w14:paraId="62D7982F">
        <w:tblPrEx>
          <w:tblCellMar>
            <w:top w:w="0" w:type="dxa"/>
            <w:left w:w="108" w:type="dxa"/>
            <w:bottom w:w="0" w:type="dxa"/>
            <w:right w:w="108" w:type="dxa"/>
          </w:tblCellMar>
        </w:tblPrEx>
        <w:trPr>
          <w:trHeight w:val="600" w:hRule="atLeast"/>
          <w:tblHeader/>
          <w:jc w:val="center"/>
        </w:trPr>
        <w:tc>
          <w:tcPr>
            <w:tcW w:w="1366" w:type="pct"/>
            <w:tcBorders>
              <w:top w:val="single" w:color="auto" w:sz="4" w:space="0"/>
              <w:left w:val="single" w:color="auto" w:sz="4" w:space="0"/>
              <w:bottom w:val="single" w:color="auto" w:sz="4" w:space="0"/>
              <w:right w:val="single" w:color="auto" w:sz="4" w:space="0"/>
            </w:tcBorders>
            <w:noWrap/>
            <w:vAlign w:val="center"/>
          </w:tcPr>
          <w:p w14:paraId="76199B28">
            <w:pPr>
              <w:widowControl/>
              <w:jc w:val="center"/>
              <w:rPr>
                <w:b/>
                <w:bCs/>
                <w:kern w:val="0"/>
                <w:szCs w:val="21"/>
              </w:rPr>
            </w:pPr>
            <w:r>
              <w:rPr>
                <w:b/>
                <w:bCs/>
                <w:kern w:val="0"/>
                <w:szCs w:val="21"/>
              </w:rPr>
              <w:t>样品类型</w:t>
            </w:r>
          </w:p>
        </w:tc>
        <w:tc>
          <w:tcPr>
            <w:tcW w:w="1365" w:type="pct"/>
            <w:tcBorders>
              <w:top w:val="single" w:color="auto" w:sz="4" w:space="0"/>
              <w:left w:val="nil"/>
              <w:bottom w:val="single" w:color="auto" w:sz="4" w:space="0"/>
              <w:right w:val="single" w:color="auto" w:sz="4" w:space="0"/>
            </w:tcBorders>
            <w:noWrap/>
            <w:vAlign w:val="center"/>
          </w:tcPr>
          <w:p w14:paraId="4F624A83">
            <w:pPr>
              <w:widowControl/>
              <w:jc w:val="center"/>
              <w:rPr>
                <w:b/>
                <w:bCs/>
                <w:kern w:val="0"/>
                <w:szCs w:val="21"/>
              </w:rPr>
            </w:pPr>
            <w:r>
              <w:rPr>
                <w:b/>
                <w:bCs/>
                <w:kern w:val="0"/>
                <w:szCs w:val="21"/>
              </w:rPr>
              <w:t>检测项目</w:t>
            </w:r>
          </w:p>
        </w:tc>
        <w:tc>
          <w:tcPr>
            <w:tcW w:w="2269" w:type="pct"/>
            <w:tcBorders>
              <w:top w:val="single" w:color="auto" w:sz="4" w:space="0"/>
              <w:left w:val="nil"/>
              <w:bottom w:val="single" w:color="auto" w:sz="4" w:space="0"/>
              <w:right w:val="single" w:color="auto" w:sz="4" w:space="0"/>
            </w:tcBorders>
            <w:noWrap/>
            <w:vAlign w:val="center"/>
          </w:tcPr>
          <w:p w14:paraId="08D15C89">
            <w:pPr>
              <w:widowControl/>
              <w:jc w:val="center"/>
              <w:rPr>
                <w:b/>
                <w:bCs/>
                <w:kern w:val="0"/>
                <w:szCs w:val="21"/>
              </w:rPr>
            </w:pPr>
            <w:r>
              <w:rPr>
                <w:b/>
                <w:bCs/>
                <w:kern w:val="0"/>
                <w:szCs w:val="21"/>
              </w:rPr>
              <w:t>监测方法</w:t>
            </w:r>
          </w:p>
        </w:tc>
      </w:tr>
      <w:tr w14:paraId="51C518F6">
        <w:tblPrEx>
          <w:tblCellMar>
            <w:top w:w="0" w:type="dxa"/>
            <w:left w:w="108" w:type="dxa"/>
            <w:bottom w:w="0" w:type="dxa"/>
            <w:right w:w="108" w:type="dxa"/>
          </w:tblCellMar>
        </w:tblPrEx>
        <w:trPr>
          <w:trHeight w:val="263" w:hRule="atLeast"/>
          <w:jc w:val="center"/>
        </w:trPr>
        <w:tc>
          <w:tcPr>
            <w:tcW w:w="1366" w:type="pct"/>
            <w:vMerge w:val="restart"/>
            <w:tcBorders>
              <w:top w:val="nil"/>
              <w:left w:val="single" w:color="auto" w:sz="4" w:space="0"/>
              <w:bottom w:val="single" w:color="000000" w:sz="4" w:space="0"/>
              <w:right w:val="single" w:color="auto" w:sz="4" w:space="0"/>
            </w:tcBorders>
            <w:noWrap/>
            <w:vAlign w:val="center"/>
          </w:tcPr>
          <w:p w14:paraId="03F6278F">
            <w:pPr>
              <w:widowControl/>
              <w:jc w:val="center"/>
              <w:rPr>
                <w:kern w:val="0"/>
                <w:szCs w:val="21"/>
              </w:rPr>
            </w:pPr>
            <w:r>
              <w:rPr>
                <w:kern w:val="0"/>
                <w:szCs w:val="21"/>
              </w:rPr>
              <w:t>土壤</w:t>
            </w:r>
          </w:p>
        </w:tc>
        <w:tc>
          <w:tcPr>
            <w:tcW w:w="1365" w:type="pct"/>
            <w:tcBorders>
              <w:top w:val="nil"/>
              <w:left w:val="nil"/>
              <w:bottom w:val="single" w:color="auto" w:sz="4" w:space="0"/>
              <w:right w:val="single" w:color="auto" w:sz="4" w:space="0"/>
            </w:tcBorders>
            <w:noWrap/>
            <w:vAlign w:val="center"/>
          </w:tcPr>
          <w:p w14:paraId="15583C51">
            <w:pPr>
              <w:widowControl/>
              <w:jc w:val="center"/>
              <w:rPr>
                <w:kern w:val="0"/>
                <w:szCs w:val="21"/>
              </w:rPr>
            </w:pPr>
            <w:r>
              <w:rPr>
                <w:kern w:val="0"/>
                <w:szCs w:val="21"/>
                <w:vertAlign w:val="superscript"/>
              </w:rPr>
              <w:t>7</w:t>
            </w:r>
            <w:r>
              <w:rPr>
                <w:kern w:val="0"/>
                <w:szCs w:val="21"/>
              </w:rPr>
              <w:t>Be</w:t>
            </w:r>
          </w:p>
        </w:tc>
        <w:tc>
          <w:tcPr>
            <w:tcW w:w="2269" w:type="pct"/>
            <w:vMerge w:val="restart"/>
            <w:tcBorders>
              <w:top w:val="nil"/>
              <w:left w:val="nil"/>
              <w:right w:val="single" w:color="auto" w:sz="4" w:space="0"/>
            </w:tcBorders>
            <w:noWrap/>
            <w:vAlign w:val="center"/>
          </w:tcPr>
          <w:p w14:paraId="750EBF12">
            <w:pPr>
              <w:widowControl/>
              <w:jc w:val="center"/>
              <w:rPr>
                <w:kern w:val="0"/>
                <w:szCs w:val="21"/>
              </w:rPr>
            </w:pPr>
            <w:r>
              <w:rPr>
                <w:kern w:val="0"/>
                <w:szCs w:val="21"/>
              </w:rPr>
              <w:t>GB/T 11713-2015</w:t>
            </w:r>
          </w:p>
        </w:tc>
      </w:tr>
      <w:tr w14:paraId="38574E2A">
        <w:tblPrEx>
          <w:tblCellMar>
            <w:top w:w="0" w:type="dxa"/>
            <w:left w:w="108" w:type="dxa"/>
            <w:bottom w:w="0" w:type="dxa"/>
            <w:right w:w="108" w:type="dxa"/>
          </w:tblCellMar>
        </w:tblPrEx>
        <w:trPr>
          <w:trHeight w:val="269" w:hRule="atLeast"/>
          <w:jc w:val="center"/>
        </w:trPr>
        <w:tc>
          <w:tcPr>
            <w:tcW w:w="1366" w:type="pct"/>
            <w:vMerge w:val="continue"/>
            <w:tcBorders>
              <w:top w:val="nil"/>
              <w:left w:val="single" w:color="auto" w:sz="4" w:space="0"/>
              <w:bottom w:val="single" w:color="000000" w:sz="4" w:space="0"/>
              <w:right w:val="single" w:color="auto" w:sz="4" w:space="0"/>
            </w:tcBorders>
            <w:vAlign w:val="center"/>
          </w:tcPr>
          <w:p w14:paraId="115B864A">
            <w:pPr>
              <w:widowControl/>
              <w:jc w:val="center"/>
              <w:rPr>
                <w:kern w:val="0"/>
                <w:szCs w:val="21"/>
              </w:rPr>
            </w:pPr>
          </w:p>
        </w:tc>
        <w:tc>
          <w:tcPr>
            <w:tcW w:w="1365" w:type="pct"/>
            <w:tcBorders>
              <w:top w:val="nil"/>
              <w:left w:val="nil"/>
              <w:bottom w:val="single" w:color="auto" w:sz="4" w:space="0"/>
              <w:right w:val="single" w:color="auto" w:sz="4" w:space="0"/>
            </w:tcBorders>
            <w:noWrap/>
            <w:vAlign w:val="center"/>
          </w:tcPr>
          <w:p w14:paraId="7F3B6E17">
            <w:pPr>
              <w:widowControl/>
              <w:jc w:val="center"/>
              <w:rPr>
                <w:kern w:val="0"/>
                <w:szCs w:val="21"/>
              </w:rPr>
            </w:pPr>
            <w:r>
              <w:rPr>
                <w:kern w:val="0"/>
                <w:szCs w:val="21"/>
                <w:vertAlign w:val="superscript"/>
              </w:rPr>
              <w:t>22</w:t>
            </w:r>
            <w:r>
              <w:rPr>
                <w:kern w:val="0"/>
                <w:szCs w:val="21"/>
              </w:rPr>
              <w:t>Na</w:t>
            </w:r>
          </w:p>
        </w:tc>
        <w:tc>
          <w:tcPr>
            <w:tcW w:w="2269" w:type="pct"/>
            <w:vMerge w:val="continue"/>
            <w:tcBorders>
              <w:left w:val="nil"/>
              <w:right w:val="single" w:color="auto" w:sz="4" w:space="0"/>
            </w:tcBorders>
            <w:noWrap/>
            <w:vAlign w:val="center"/>
          </w:tcPr>
          <w:p w14:paraId="25FB64D0">
            <w:pPr>
              <w:jc w:val="center"/>
              <w:rPr>
                <w:kern w:val="0"/>
                <w:szCs w:val="21"/>
              </w:rPr>
            </w:pPr>
          </w:p>
        </w:tc>
      </w:tr>
      <w:tr w14:paraId="1E918369">
        <w:tblPrEx>
          <w:tblCellMar>
            <w:top w:w="0" w:type="dxa"/>
            <w:left w:w="108" w:type="dxa"/>
            <w:bottom w:w="0" w:type="dxa"/>
            <w:right w:w="108" w:type="dxa"/>
          </w:tblCellMar>
        </w:tblPrEx>
        <w:trPr>
          <w:trHeight w:val="253" w:hRule="atLeast"/>
          <w:jc w:val="center"/>
        </w:trPr>
        <w:tc>
          <w:tcPr>
            <w:tcW w:w="1366" w:type="pct"/>
            <w:vMerge w:val="continue"/>
            <w:tcBorders>
              <w:top w:val="nil"/>
              <w:left w:val="single" w:color="auto" w:sz="4" w:space="0"/>
              <w:bottom w:val="single" w:color="000000" w:sz="4" w:space="0"/>
              <w:right w:val="single" w:color="auto" w:sz="4" w:space="0"/>
            </w:tcBorders>
            <w:vAlign w:val="center"/>
          </w:tcPr>
          <w:p w14:paraId="5EBD54A8">
            <w:pPr>
              <w:widowControl/>
              <w:jc w:val="center"/>
              <w:rPr>
                <w:kern w:val="0"/>
                <w:szCs w:val="21"/>
              </w:rPr>
            </w:pPr>
          </w:p>
        </w:tc>
        <w:tc>
          <w:tcPr>
            <w:tcW w:w="1365" w:type="pct"/>
            <w:tcBorders>
              <w:top w:val="nil"/>
              <w:left w:val="nil"/>
              <w:bottom w:val="single" w:color="auto" w:sz="4" w:space="0"/>
              <w:right w:val="single" w:color="auto" w:sz="4" w:space="0"/>
            </w:tcBorders>
            <w:noWrap/>
            <w:vAlign w:val="center"/>
          </w:tcPr>
          <w:p w14:paraId="2065942A">
            <w:pPr>
              <w:widowControl/>
              <w:jc w:val="center"/>
              <w:rPr>
                <w:kern w:val="0"/>
                <w:szCs w:val="21"/>
              </w:rPr>
            </w:pPr>
            <w:r>
              <w:rPr>
                <w:kern w:val="0"/>
                <w:szCs w:val="21"/>
              </w:rPr>
              <w:t>总α</w:t>
            </w:r>
          </w:p>
        </w:tc>
        <w:tc>
          <w:tcPr>
            <w:tcW w:w="2269" w:type="pct"/>
            <w:tcBorders>
              <w:top w:val="single" w:color="auto" w:sz="4" w:space="0"/>
              <w:left w:val="nil"/>
              <w:bottom w:val="single" w:color="auto" w:sz="4" w:space="0"/>
              <w:right w:val="single" w:color="auto" w:sz="4" w:space="0"/>
            </w:tcBorders>
            <w:noWrap/>
            <w:vAlign w:val="center"/>
          </w:tcPr>
          <w:p w14:paraId="73F1CEA5">
            <w:pPr>
              <w:widowControl/>
              <w:jc w:val="center"/>
              <w:rPr>
                <w:kern w:val="0"/>
                <w:szCs w:val="21"/>
              </w:rPr>
            </w:pPr>
            <w:r>
              <w:rPr>
                <w:kern w:val="0"/>
                <w:szCs w:val="21"/>
              </w:rPr>
              <w:t>HJ 898-2017</w:t>
            </w:r>
          </w:p>
        </w:tc>
      </w:tr>
      <w:tr w14:paraId="51C72B61">
        <w:tblPrEx>
          <w:tblCellMar>
            <w:top w:w="0" w:type="dxa"/>
            <w:left w:w="108" w:type="dxa"/>
            <w:bottom w:w="0" w:type="dxa"/>
            <w:right w:w="108" w:type="dxa"/>
          </w:tblCellMar>
        </w:tblPrEx>
        <w:trPr>
          <w:trHeight w:val="357" w:hRule="atLeast"/>
          <w:jc w:val="center"/>
        </w:trPr>
        <w:tc>
          <w:tcPr>
            <w:tcW w:w="1366" w:type="pct"/>
            <w:vMerge w:val="continue"/>
            <w:tcBorders>
              <w:top w:val="nil"/>
              <w:left w:val="single" w:color="auto" w:sz="4" w:space="0"/>
              <w:bottom w:val="single" w:color="000000" w:sz="4" w:space="0"/>
              <w:right w:val="single" w:color="auto" w:sz="4" w:space="0"/>
            </w:tcBorders>
            <w:vAlign w:val="center"/>
          </w:tcPr>
          <w:p w14:paraId="4F6B032C">
            <w:pPr>
              <w:widowControl/>
              <w:jc w:val="center"/>
              <w:rPr>
                <w:kern w:val="0"/>
                <w:szCs w:val="21"/>
              </w:rPr>
            </w:pPr>
          </w:p>
        </w:tc>
        <w:tc>
          <w:tcPr>
            <w:tcW w:w="1365" w:type="pct"/>
            <w:tcBorders>
              <w:top w:val="nil"/>
              <w:left w:val="nil"/>
              <w:bottom w:val="single" w:color="auto" w:sz="4" w:space="0"/>
              <w:right w:val="single" w:color="auto" w:sz="4" w:space="0"/>
            </w:tcBorders>
            <w:noWrap/>
            <w:vAlign w:val="center"/>
          </w:tcPr>
          <w:p w14:paraId="57659962">
            <w:pPr>
              <w:widowControl/>
              <w:jc w:val="center"/>
              <w:rPr>
                <w:kern w:val="0"/>
                <w:szCs w:val="21"/>
              </w:rPr>
            </w:pPr>
            <w:r>
              <w:rPr>
                <w:kern w:val="0"/>
                <w:szCs w:val="21"/>
              </w:rPr>
              <w:t>总β</w:t>
            </w:r>
          </w:p>
        </w:tc>
        <w:tc>
          <w:tcPr>
            <w:tcW w:w="2269" w:type="pct"/>
            <w:tcBorders>
              <w:top w:val="single" w:color="auto" w:sz="4" w:space="0"/>
              <w:left w:val="nil"/>
              <w:bottom w:val="single" w:color="auto" w:sz="4" w:space="0"/>
              <w:right w:val="single" w:color="auto" w:sz="4" w:space="0"/>
            </w:tcBorders>
            <w:noWrap/>
            <w:vAlign w:val="center"/>
          </w:tcPr>
          <w:p w14:paraId="6FBA1BBE">
            <w:pPr>
              <w:widowControl/>
              <w:jc w:val="center"/>
              <w:rPr>
                <w:kern w:val="0"/>
                <w:szCs w:val="21"/>
              </w:rPr>
            </w:pPr>
            <w:r>
              <w:rPr>
                <w:kern w:val="0"/>
                <w:szCs w:val="21"/>
              </w:rPr>
              <w:t>HJ 899-2017</w:t>
            </w:r>
          </w:p>
        </w:tc>
      </w:tr>
      <w:tr w14:paraId="350A5764">
        <w:tblPrEx>
          <w:tblCellMar>
            <w:top w:w="0" w:type="dxa"/>
            <w:left w:w="108" w:type="dxa"/>
            <w:bottom w:w="0" w:type="dxa"/>
            <w:right w:w="108" w:type="dxa"/>
          </w:tblCellMar>
        </w:tblPrEx>
        <w:trPr>
          <w:trHeight w:val="277" w:hRule="atLeast"/>
          <w:jc w:val="center"/>
        </w:trPr>
        <w:tc>
          <w:tcPr>
            <w:tcW w:w="1366" w:type="pct"/>
            <w:vMerge w:val="restart"/>
            <w:tcBorders>
              <w:top w:val="nil"/>
              <w:left w:val="single" w:color="auto" w:sz="4" w:space="0"/>
              <w:bottom w:val="single" w:color="000000" w:sz="4" w:space="0"/>
              <w:right w:val="single" w:color="auto" w:sz="4" w:space="0"/>
            </w:tcBorders>
            <w:noWrap/>
            <w:vAlign w:val="center"/>
          </w:tcPr>
          <w:p w14:paraId="60D7FCAE">
            <w:pPr>
              <w:widowControl/>
              <w:jc w:val="center"/>
              <w:rPr>
                <w:kern w:val="0"/>
                <w:szCs w:val="21"/>
              </w:rPr>
            </w:pPr>
            <w:r>
              <w:rPr>
                <w:kern w:val="0"/>
                <w:szCs w:val="21"/>
              </w:rPr>
              <w:t>水样</w:t>
            </w:r>
          </w:p>
        </w:tc>
        <w:tc>
          <w:tcPr>
            <w:tcW w:w="1365" w:type="pct"/>
            <w:tcBorders>
              <w:top w:val="nil"/>
              <w:left w:val="nil"/>
              <w:bottom w:val="single" w:color="auto" w:sz="4" w:space="0"/>
              <w:right w:val="single" w:color="auto" w:sz="4" w:space="0"/>
            </w:tcBorders>
            <w:noWrap/>
            <w:vAlign w:val="center"/>
          </w:tcPr>
          <w:p w14:paraId="5905943F">
            <w:pPr>
              <w:widowControl/>
              <w:jc w:val="center"/>
              <w:rPr>
                <w:kern w:val="0"/>
                <w:szCs w:val="21"/>
              </w:rPr>
            </w:pPr>
            <w:r>
              <w:rPr>
                <w:color w:val="000000"/>
                <w:szCs w:val="21"/>
                <w:vertAlign w:val="superscript"/>
              </w:rPr>
              <w:t>3</w:t>
            </w:r>
            <w:r>
              <w:rPr>
                <w:color w:val="000000"/>
                <w:szCs w:val="21"/>
              </w:rPr>
              <w:t>H</w:t>
            </w:r>
          </w:p>
        </w:tc>
        <w:tc>
          <w:tcPr>
            <w:tcW w:w="2269" w:type="pct"/>
            <w:tcBorders>
              <w:top w:val="nil"/>
              <w:left w:val="nil"/>
              <w:bottom w:val="single" w:color="auto" w:sz="4" w:space="0"/>
              <w:right w:val="single" w:color="auto" w:sz="4" w:space="0"/>
            </w:tcBorders>
            <w:noWrap/>
            <w:vAlign w:val="center"/>
          </w:tcPr>
          <w:p w14:paraId="46152A73">
            <w:pPr>
              <w:widowControl/>
              <w:jc w:val="center"/>
              <w:rPr>
                <w:kern w:val="0"/>
                <w:szCs w:val="21"/>
              </w:rPr>
            </w:pPr>
            <w:r>
              <w:rPr>
                <w:kern w:val="0"/>
                <w:szCs w:val="21"/>
              </w:rPr>
              <w:t>HJ 1126-2020</w:t>
            </w:r>
          </w:p>
        </w:tc>
      </w:tr>
      <w:tr w14:paraId="3B9B05BF">
        <w:tblPrEx>
          <w:tblCellMar>
            <w:top w:w="0" w:type="dxa"/>
            <w:left w:w="108" w:type="dxa"/>
            <w:bottom w:w="0" w:type="dxa"/>
            <w:right w:w="108" w:type="dxa"/>
          </w:tblCellMar>
        </w:tblPrEx>
        <w:trPr>
          <w:trHeight w:val="277" w:hRule="atLeast"/>
          <w:jc w:val="center"/>
        </w:trPr>
        <w:tc>
          <w:tcPr>
            <w:tcW w:w="1366" w:type="pct"/>
            <w:vMerge w:val="continue"/>
            <w:tcBorders>
              <w:top w:val="nil"/>
              <w:left w:val="single" w:color="auto" w:sz="4" w:space="0"/>
              <w:bottom w:val="single" w:color="000000" w:sz="4" w:space="0"/>
              <w:right w:val="single" w:color="auto" w:sz="4" w:space="0"/>
            </w:tcBorders>
            <w:noWrap/>
            <w:vAlign w:val="center"/>
          </w:tcPr>
          <w:p w14:paraId="23DC346D">
            <w:pPr>
              <w:widowControl/>
              <w:jc w:val="center"/>
              <w:rPr>
                <w:kern w:val="0"/>
                <w:szCs w:val="21"/>
              </w:rPr>
            </w:pPr>
          </w:p>
        </w:tc>
        <w:tc>
          <w:tcPr>
            <w:tcW w:w="1365" w:type="pct"/>
            <w:tcBorders>
              <w:top w:val="nil"/>
              <w:left w:val="nil"/>
              <w:bottom w:val="single" w:color="auto" w:sz="4" w:space="0"/>
              <w:right w:val="single" w:color="auto" w:sz="4" w:space="0"/>
            </w:tcBorders>
            <w:noWrap/>
            <w:vAlign w:val="center"/>
          </w:tcPr>
          <w:p w14:paraId="51D3EFD8">
            <w:pPr>
              <w:widowControl/>
              <w:jc w:val="center"/>
              <w:rPr>
                <w:kern w:val="0"/>
                <w:szCs w:val="21"/>
              </w:rPr>
            </w:pPr>
            <w:r>
              <w:rPr>
                <w:color w:val="000000"/>
                <w:szCs w:val="21"/>
                <w:vertAlign w:val="superscript"/>
              </w:rPr>
              <w:t>7</w:t>
            </w:r>
            <w:r>
              <w:rPr>
                <w:color w:val="000000"/>
                <w:szCs w:val="21"/>
              </w:rPr>
              <w:t>Be</w:t>
            </w:r>
          </w:p>
        </w:tc>
        <w:tc>
          <w:tcPr>
            <w:tcW w:w="2269" w:type="pct"/>
            <w:tcBorders>
              <w:top w:val="nil"/>
              <w:left w:val="nil"/>
              <w:bottom w:val="single" w:color="auto" w:sz="4" w:space="0"/>
              <w:right w:val="single" w:color="auto" w:sz="4" w:space="0"/>
            </w:tcBorders>
            <w:noWrap/>
            <w:vAlign w:val="center"/>
          </w:tcPr>
          <w:p w14:paraId="4AA51ECA">
            <w:pPr>
              <w:widowControl/>
              <w:jc w:val="center"/>
              <w:rPr>
                <w:kern w:val="0"/>
                <w:szCs w:val="21"/>
              </w:rPr>
            </w:pPr>
            <w:r>
              <w:rPr>
                <w:kern w:val="0"/>
                <w:szCs w:val="21"/>
              </w:rPr>
              <w:t>GB/T 11713-2015</w:t>
            </w:r>
          </w:p>
        </w:tc>
      </w:tr>
      <w:tr w14:paraId="15E3E296">
        <w:tblPrEx>
          <w:tblCellMar>
            <w:top w:w="0" w:type="dxa"/>
            <w:left w:w="108" w:type="dxa"/>
            <w:bottom w:w="0" w:type="dxa"/>
            <w:right w:w="108" w:type="dxa"/>
          </w:tblCellMar>
        </w:tblPrEx>
        <w:trPr>
          <w:trHeight w:val="239" w:hRule="atLeast"/>
          <w:jc w:val="center"/>
        </w:trPr>
        <w:tc>
          <w:tcPr>
            <w:tcW w:w="1366" w:type="pct"/>
            <w:vMerge w:val="continue"/>
            <w:tcBorders>
              <w:top w:val="nil"/>
              <w:left w:val="single" w:color="auto" w:sz="4" w:space="0"/>
              <w:bottom w:val="single" w:color="000000" w:sz="4" w:space="0"/>
              <w:right w:val="single" w:color="auto" w:sz="4" w:space="0"/>
            </w:tcBorders>
            <w:vAlign w:val="center"/>
          </w:tcPr>
          <w:p w14:paraId="68C77A75">
            <w:pPr>
              <w:widowControl/>
              <w:jc w:val="center"/>
              <w:rPr>
                <w:kern w:val="0"/>
                <w:szCs w:val="21"/>
              </w:rPr>
            </w:pPr>
          </w:p>
        </w:tc>
        <w:tc>
          <w:tcPr>
            <w:tcW w:w="1365" w:type="pct"/>
            <w:tcBorders>
              <w:top w:val="nil"/>
              <w:left w:val="nil"/>
              <w:bottom w:val="single" w:color="auto" w:sz="4" w:space="0"/>
              <w:right w:val="single" w:color="auto" w:sz="4" w:space="0"/>
            </w:tcBorders>
            <w:shd w:val="clear" w:color="000000" w:fill="FFFFFF"/>
            <w:noWrap/>
            <w:vAlign w:val="center"/>
          </w:tcPr>
          <w:p w14:paraId="47B1C042">
            <w:pPr>
              <w:widowControl/>
              <w:jc w:val="center"/>
              <w:rPr>
                <w:kern w:val="0"/>
                <w:szCs w:val="21"/>
              </w:rPr>
            </w:pPr>
            <w:r>
              <w:rPr>
                <w:kern w:val="0"/>
                <w:szCs w:val="21"/>
              </w:rPr>
              <w:t>总α</w:t>
            </w:r>
          </w:p>
        </w:tc>
        <w:tc>
          <w:tcPr>
            <w:tcW w:w="2269" w:type="pct"/>
            <w:tcBorders>
              <w:top w:val="single" w:color="auto" w:sz="4" w:space="0"/>
              <w:left w:val="nil"/>
              <w:bottom w:val="single" w:color="auto" w:sz="4" w:space="0"/>
              <w:right w:val="single" w:color="auto" w:sz="4" w:space="0"/>
            </w:tcBorders>
            <w:noWrap/>
            <w:vAlign w:val="center"/>
          </w:tcPr>
          <w:p w14:paraId="09297115">
            <w:pPr>
              <w:widowControl/>
              <w:jc w:val="center"/>
              <w:rPr>
                <w:kern w:val="0"/>
                <w:szCs w:val="21"/>
              </w:rPr>
            </w:pPr>
            <w:r>
              <w:rPr>
                <w:kern w:val="0"/>
                <w:szCs w:val="21"/>
              </w:rPr>
              <w:t>HJ 898-2017</w:t>
            </w:r>
          </w:p>
        </w:tc>
      </w:tr>
      <w:tr w14:paraId="52507D66">
        <w:tblPrEx>
          <w:tblCellMar>
            <w:top w:w="0" w:type="dxa"/>
            <w:left w:w="108" w:type="dxa"/>
            <w:bottom w:w="0" w:type="dxa"/>
            <w:right w:w="108" w:type="dxa"/>
          </w:tblCellMar>
        </w:tblPrEx>
        <w:trPr>
          <w:trHeight w:val="60" w:hRule="atLeast"/>
          <w:jc w:val="center"/>
        </w:trPr>
        <w:tc>
          <w:tcPr>
            <w:tcW w:w="1366" w:type="pct"/>
            <w:vMerge w:val="continue"/>
            <w:tcBorders>
              <w:top w:val="nil"/>
              <w:left w:val="single" w:color="auto" w:sz="4" w:space="0"/>
              <w:bottom w:val="single" w:color="auto" w:sz="4" w:space="0"/>
              <w:right w:val="single" w:color="auto" w:sz="4" w:space="0"/>
            </w:tcBorders>
            <w:vAlign w:val="center"/>
          </w:tcPr>
          <w:p w14:paraId="6278518F">
            <w:pPr>
              <w:widowControl/>
              <w:jc w:val="center"/>
              <w:rPr>
                <w:kern w:val="0"/>
                <w:szCs w:val="21"/>
              </w:rPr>
            </w:pPr>
          </w:p>
        </w:tc>
        <w:tc>
          <w:tcPr>
            <w:tcW w:w="1365" w:type="pct"/>
            <w:tcBorders>
              <w:top w:val="nil"/>
              <w:left w:val="nil"/>
              <w:bottom w:val="single" w:color="auto" w:sz="4" w:space="0"/>
              <w:right w:val="single" w:color="auto" w:sz="4" w:space="0"/>
            </w:tcBorders>
            <w:shd w:val="clear" w:color="000000" w:fill="FFFFFF"/>
            <w:noWrap/>
            <w:vAlign w:val="center"/>
          </w:tcPr>
          <w:p w14:paraId="3CDDB636">
            <w:pPr>
              <w:widowControl/>
              <w:jc w:val="center"/>
              <w:rPr>
                <w:kern w:val="0"/>
                <w:szCs w:val="21"/>
              </w:rPr>
            </w:pPr>
            <w:r>
              <w:rPr>
                <w:kern w:val="0"/>
                <w:szCs w:val="21"/>
              </w:rPr>
              <w:t>总β</w:t>
            </w:r>
          </w:p>
        </w:tc>
        <w:tc>
          <w:tcPr>
            <w:tcW w:w="2269" w:type="pct"/>
            <w:tcBorders>
              <w:top w:val="single" w:color="auto" w:sz="4" w:space="0"/>
              <w:left w:val="nil"/>
              <w:bottom w:val="single" w:color="auto" w:sz="4" w:space="0"/>
              <w:right w:val="single" w:color="auto" w:sz="4" w:space="0"/>
            </w:tcBorders>
            <w:noWrap/>
            <w:vAlign w:val="center"/>
          </w:tcPr>
          <w:p w14:paraId="20A4189A">
            <w:pPr>
              <w:widowControl/>
              <w:jc w:val="center"/>
              <w:rPr>
                <w:kern w:val="0"/>
                <w:szCs w:val="21"/>
              </w:rPr>
            </w:pPr>
            <w:r>
              <w:rPr>
                <w:kern w:val="0"/>
                <w:szCs w:val="21"/>
              </w:rPr>
              <w:t>HJ 899-2017</w:t>
            </w:r>
          </w:p>
        </w:tc>
      </w:tr>
      <w:tr w14:paraId="47DFD2B9">
        <w:tblPrEx>
          <w:tblCellMar>
            <w:top w:w="0" w:type="dxa"/>
            <w:left w:w="108" w:type="dxa"/>
            <w:bottom w:w="0" w:type="dxa"/>
            <w:right w:w="108" w:type="dxa"/>
          </w:tblCellMar>
        </w:tblPrEx>
        <w:trPr>
          <w:trHeight w:val="60" w:hRule="atLeast"/>
          <w:jc w:val="center"/>
        </w:trPr>
        <w:tc>
          <w:tcPr>
            <w:tcW w:w="1366" w:type="pct"/>
            <w:vMerge w:val="restart"/>
            <w:tcBorders>
              <w:top w:val="single" w:color="auto" w:sz="4" w:space="0"/>
              <w:left w:val="single" w:color="auto" w:sz="4" w:space="0"/>
              <w:right w:val="single" w:color="auto" w:sz="4" w:space="0"/>
            </w:tcBorders>
            <w:vAlign w:val="center"/>
          </w:tcPr>
          <w:p w14:paraId="74E78765">
            <w:pPr>
              <w:widowControl/>
              <w:jc w:val="center"/>
              <w:rPr>
                <w:kern w:val="0"/>
                <w:szCs w:val="21"/>
              </w:rPr>
            </w:pPr>
            <w:r>
              <w:rPr>
                <w:kern w:val="0"/>
                <w:szCs w:val="21"/>
              </w:rPr>
              <w:t>外照射</w:t>
            </w:r>
          </w:p>
        </w:tc>
        <w:tc>
          <w:tcPr>
            <w:tcW w:w="1365" w:type="pct"/>
            <w:tcBorders>
              <w:top w:val="single" w:color="auto" w:sz="4" w:space="0"/>
              <w:left w:val="nil"/>
              <w:bottom w:val="single" w:color="auto" w:sz="4" w:space="0"/>
              <w:right w:val="single" w:color="auto" w:sz="4" w:space="0"/>
            </w:tcBorders>
            <w:shd w:val="clear" w:color="000000" w:fill="FFFFFF"/>
            <w:noWrap/>
            <w:vAlign w:val="center"/>
          </w:tcPr>
          <w:p w14:paraId="7142299F">
            <w:pPr>
              <w:widowControl/>
              <w:jc w:val="center"/>
              <w:rPr>
                <w:kern w:val="0"/>
                <w:szCs w:val="21"/>
              </w:rPr>
            </w:pPr>
            <w:r>
              <w:rPr>
                <w:kern w:val="0"/>
                <w:szCs w:val="21"/>
              </w:rPr>
              <w:t>X、γ辐射剂量率</w:t>
            </w:r>
          </w:p>
        </w:tc>
        <w:tc>
          <w:tcPr>
            <w:tcW w:w="2269" w:type="pct"/>
            <w:tcBorders>
              <w:top w:val="single" w:color="auto" w:sz="4" w:space="0"/>
              <w:left w:val="nil"/>
              <w:bottom w:val="single" w:color="auto" w:sz="4" w:space="0"/>
              <w:right w:val="single" w:color="auto" w:sz="4" w:space="0"/>
            </w:tcBorders>
            <w:noWrap/>
            <w:vAlign w:val="center"/>
          </w:tcPr>
          <w:p w14:paraId="1243A363">
            <w:pPr>
              <w:widowControl/>
              <w:jc w:val="center"/>
              <w:rPr>
                <w:kern w:val="0"/>
                <w:szCs w:val="21"/>
              </w:rPr>
            </w:pPr>
            <w:r>
              <w:rPr>
                <w:kern w:val="0"/>
                <w:szCs w:val="21"/>
              </w:rPr>
              <w:t>HJ 1157-2021</w:t>
            </w:r>
          </w:p>
        </w:tc>
      </w:tr>
      <w:tr w14:paraId="045E07DC">
        <w:tblPrEx>
          <w:tblCellMar>
            <w:top w:w="0" w:type="dxa"/>
            <w:left w:w="108" w:type="dxa"/>
            <w:bottom w:w="0" w:type="dxa"/>
            <w:right w:w="108" w:type="dxa"/>
          </w:tblCellMar>
        </w:tblPrEx>
        <w:trPr>
          <w:trHeight w:val="60" w:hRule="atLeast"/>
          <w:jc w:val="center"/>
        </w:trPr>
        <w:tc>
          <w:tcPr>
            <w:tcW w:w="1366" w:type="pct"/>
            <w:vMerge w:val="continue"/>
            <w:tcBorders>
              <w:left w:val="single" w:color="auto" w:sz="4" w:space="0"/>
              <w:bottom w:val="single" w:color="auto" w:sz="4" w:space="0"/>
              <w:right w:val="single" w:color="auto" w:sz="4" w:space="0"/>
            </w:tcBorders>
            <w:vAlign w:val="center"/>
          </w:tcPr>
          <w:p w14:paraId="70A3E12A">
            <w:pPr>
              <w:widowControl/>
              <w:jc w:val="center"/>
              <w:rPr>
                <w:kern w:val="0"/>
                <w:szCs w:val="21"/>
              </w:rPr>
            </w:pPr>
          </w:p>
        </w:tc>
        <w:tc>
          <w:tcPr>
            <w:tcW w:w="1365" w:type="pct"/>
            <w:tcBorders>
              <w:top w:val="single" w:color="auto" w:sz="4" w:space="0"/>
              <w:left w:val="nil"/>
              <w:bottom w:val="single" w:color="auto" w:sz="4" w:space="0"/>
              <w:right w:val="single" w:color="auto" w:sz="4" w:space="0"/>
            </w:tcBorders>
            <w:shd w:val="clear" w:color="000000" w:fill="FFFFFF"/>
            <w:noWrap/>
            <w:vAlign w:val="center"/>
          </w:tcPr>
          <w:p w14:paraId="5A01FFEB">
            <w:pPr>
              <w:widowControl/>
              <w:jc w:val="center"/>
              <w:rPr>
                <w:kern w:val="0"/>
                <w:szCs w:val="21"/>
              </w:rPr>
            </w:pPr>
            <w:r>
              <w:rPr>
                <w:kern w:val="0"/>
                <w:szCs w:val="21"/>
              </w:rPr>
              <w:t>中子辐射剂量率</w:t>
            </w:r>
          </w:p>
        </w:tc>
        <w:tc>
          <w:tcPr>
            <w:tcW w:w="2269" w:type="pct"/>
            <w:tcBorders>
              <w:top w:val="single" w:color="auto" w:sz="4" w:space="0"/>
              <w:left w:val="nil"/>
              <w:bottom w:val="single" w:color="auto" w:sz="4" w:space="0"/>
              <w:right w:val="single" w:color="auto" w:sz="4" w:space="0"/>
            </w:tcBorders>
            <w:noWrap/>
            <w:vAlign w:val="center"/>
          </w:tcPr>
          <w:p w14:paraId="19C3B75C">
            <w:pPr>
              <w:widowControl/>
              <w:jc w:val="center"/>
              <w:rPr>
                <w:kern w:val="0"/>
                <w:szCs w:val="21"/>
              </w:rPr>
            </w:pPr>
            <w:r>
              <w:rPr>
                <w:kern w:val="0"/>
                <w:szCs w:val="21"/>
              </w:rPr>
              <w:t>GB/T 14318-2019</w:t>
            </w:r>
          </w:p>
        </w:tc>
      </w:tr>
    </w:tbl>
    <w:p w14:paraId="56D1192C">
      <w:pPr>
        <w:pStyle w:val="5"/>
      </w:pPr>
      <w:r>
        <w:t>质量保证措施</w:t>
      </w:r>
    </w:p>
    <w:p w14:paraId="2EBF7E48">
      <w:pPr>
        <w:pStyle w:val="8"/>
        <w:spacing w:before="0" w:beforeLines="0" w:after="0" w:afterLines="0"/>
        <w:rPr>
          <w:lang w:eastAsia="zh-CN"/>
        </w:rPr>
      </w:pPr>
      <w:r>
        <w:t>（1）监测单位具备所监测项目的资质</w:t>
      </w:r>
      <w:r>
        <w:rPr>
          <w:lang w:eastAsia="zh-CN"/>
        </w:rPr>
        <w:t>；</w:t>
      </w:r>
    </w:p>
    <w:p w14:paraId="035C6D12">
      <w:pPr>
        <w:pStyle w:val="8"/>
        <w:spacing w:before="0" w:beforeLines="0" w:after="0" w:afterLines="0"/>
      </w:pPr>
      <w:r>
        <w:t>（2）合理布设监测点位，保证各监测点位布设的科学性和可比性；</w:t>
      </w:r>
    </w:p>
    <w:p w14:paraId="0BD10802">
      <w:pPr>
        <w:pStyle w:val="8"/>
        <w:spacing w:before="0" w:beforeLines="0" w:after="0" w:afterLines="0"/>
      </w:pPr>
      <w:r>
        <w:t>（3）针对各类样品的采集，监测单位制定了操作规程，要求参加采样人员在实施采样前充分了解，并在采样过程中严格执行；</w:t>
      </w:r>
    </w:p>
    <w:p w14:paraId="6D2CFE9A">
      <w:pPr>
        <w:pStyle w:val="8"/>
        <w:spacing w:before="0" w:beforeLines="0" w:after="0" w:afterLines="0"/>
      </w:pPr>
      <w:r>
        <w:t>（4）采样器符合国家技术标准的规定，使用前须检验并确认其性能良好后方可采样，保证采样器和样品容器的清洁，防止交叉污染</w:t>
      </w:r>
      <w:r>
        <w:rPr>
          <w:lang w:eastAsia="zh-CN"/>
        </w:rPr>
        <w:t>；</w:t>
      </w:r>
    </w:p>
    <w:p w14:paraId="72305DE4">
      <w:pPr>
        <w:pStyle w:val="8"/>
        <w:spacing w:before="0" w:beforeLines="0" w:after="0" w:afterLines="0"/>
      </w:pPr>
      <w:r>
        <w:t>（5）采样后按规定方法进行暂存或预处理，并尽快送往实验室，做好样品交接工作；</w:t>
      </w:r>
    </w:p>
    <w:p w14:paraId="448EEF16">
      <w:pPr>
        <w:pStyle w:val="8"/>
        <w:spacing w:before="0" w:beforeLines="0" w:after="0" w:afterLines="0"/>
      </w:pPr>
      <w:r>
        <w:t>（6）监测方法采用国家有关部门颁布的标准，监测人员经考核并持有合格证书上岗；</w:t>
      </w:r>
    </w:p>
    <w:p w14:paraId="3A76F130">
      <w:pPr>
        <w:pStyle w:val="8"/>
        <w:spacing w:before="0" w:beforeLines="0" w:after="0" w:afterLines="0"/>
      </w:pPr>
      <w:r>
        <w:t>（7）监测仪器定期经计量部门检定，检定合格后方可使用；</w:t>
      </w:r>
    </w:p>
    <w:p w14:paraId="000FA23F">
      <w:pPr>
        <w:pStyle w:val="8"/>
        <w:spacing w:before="0" w:beforeLines="0" w:after="0" w:afterLines="0"/>
      </w:pPr>
      <w:r>
        <w:t>（8）每次测量前、后均检查仪器的工作状态是否正常；</w:t>
      </w:r>
    </w:p>
    <w:p w14:paraId="72CFFC43">
      <w:pPr>
        <w:pStyle w:val="8"/>
        <w:spacing w:before="0" w:beforeLines="0" w:after="0" w:afterLines="0"/>
      </w:pPr>
      <w:r>
        <w:t>（9）由专业人员按操作规程操作仪器，并做好记录；</w:t>
      </w:r>
    </w:p>
    <w:p w14:paraId="300D8B15">
      <w:pPr>
        <w:pStyle w:val="8"/>
        <w:spacing w:before="0" w:beforeLines="0" w:after="0" w:afterLines="0"/>
      </w:pPr>
      <w:r>
        <w:t>（10）监测报告严格实行三级审核制度，经过校验、审核，最后由技术总负责审定。</w:t>
      </w:r>
    </w:p>
    <w:p w14:paraId="129D65BF">
      <w:pPr>
        <w:pStyle w:val="5"/>
      </w:pPr>
      <w:bookmarkStart w:id="389" w:name="_Toc464041455"/>
      <w:r>
        <w:t>监测结果</w:t>
      </w:r>
      <w:bookmarkEnd w:id="389"/>
    </w:p>
    <w:p w14:paraId="3B54FDF2">
      <w:pPr>
        <w:pStyle w:val="6"/>
      </w:pPr>
      <w:r>
        <w:rPr>
          <w:lang w:eastAsia="zh-CN"/>
        </w:rPr>
        <w:t>外照</w:t>
      </w:r>
      <w:r>
        <w:t>射</w:t>
      </w:r>
    </w:p>
    <w:p w14:paraId="469EF12C">
      <w:pPr>
        <w:pStyle w:val="8"/>
        <w:rPr>
          <w:szCs w:val="21"/>
        </w:rPr>
      </w:pPr>
      <w:r>
        <w:rPr>
          <w:szCs w:val="21"/>
        </w:rPr>
        <w:t>本项目拟建场址及周围环境的环境地表γ辐射剂量率和中子剂量当量率监测结果见</w:t>
      </w:r>
      <w:r>
        <w:rPr>
          <w:szCs w:val="21"/>
        </w:rPr>
        <w:fldChar w:fldCharType="begin"/>
      </w:r>
      <w:r>
        <w:rPr>
          <w:szCs w:val="21"/>
        </w:rPr>
        <w:instrText xml:space="preserve"> REF _Ref470702855 \h  \* MERGEFORMAT </w:instrText>
      </w:r>
      <w:r>
        <w:rPr>
          <w:szCs w:val="21"/>
        </w:rPr>
        <w:fldChar w:fldCharType="separate"/>
      </w:r>
      <w:r>
        <w:t>表 2</w:t>
      </w:r>
      <w:r>
        <w:noBreakHyphen/>
      </w:r>
      <w:r>
        <w:t>4</w:t>
      </w:r>
      <w:r>
        <w:rPr>
          <w:szCs w:val="21"/>
        </w:rPr>
        <w:fldChar w:fldCharType="end"/>
      </w:r>
      <w:r>
        <w:rPr>
          <w:szCs w:val="21"/>
        </w:rPr>
        <w:t>。</w:t>
      </w:r>
    </w:p>
    <w:p w14:paraId="5A971108">
      <w:pPr>
        <w:pStyle w:val="15"/>
        <w:rPr>
          <w:szCs w:val="21"/>
        </w:rPr>
      </w:pPr>
      <w:bookmarkStart w:id="390" w:name="_Ref470702855"/>
      <w:bookmarkStart w:id="391" w:name="_Toc487620037"/>
      <w:bookmarkStart w:id="392" w:name="_Toc34738372"/>
      <w:bookmarkStart w:id="393" w:name="_Toc470262222"/>
      <w:bookmarkStart w:id="394" w:name="_Toc150973448"/>
      <w:r>
        <w:t xml:space="preserve">表 </w:t>
      </w:r>
      <w:r>
        <w:fldChar w:fldCharType="begin"/>
      </w:r>
      <w:r>
        <w:instrText xml:space="preserve"> STYLEREF 1 \s </w:instrText>
      </w:r>
      <w:r>
        <w:fldChar w:fldCharType="separate"/>
      </w:r>
      <w:r>
        <w:t>2</w:t>
      </w:r>
      <w:r>
        <w:fldChar w:fldCharType="end"/>
      </w:r>
      <w:r>
        <w:noBreakHyphen/>
      </w:r>
      <w:r>
        <w:fldChar w:fldCharType="begin"/>
      </w:r>
      <w:r>
        <w:instrText xml:space="preserve"> SEQ 表 \* ARABIC \s 1 </w:instrText>
      </w:r>
      <w:r>
        <w:fldChar w:fldCharType="separate"/>
      </w:r>
      <w:r>
        <w:t>4</w:t>
      </w:r>
      <w:r>
        <w:fldChar w:fldCharType="end"/>
      </w:r>
      <w:bookmarkEnd w:id="390"/>
      <w:r>
        <w:rPr>
          <w:szCs w:val="21"/>
        </w:rPr>
        <w:t>本项目拟建场址内环境γ辐射剂量率和中子辐射剂量率监测</w:t>
      </w:r>
      <w:bookmarkEnd w:id="391"/>
      <w:bookmarkEnd w:id="392"/>
      <w:bookmarkEnd w:id="393"/>
      <w:r>
        <w:rPr>
          <w:szCs w:val="21"/>
        </w:rPr>
        <w:t>结果</w:t>
      </w:r>
      <w:bookmarkEnd w:id="394"/>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4160"/>
        <w:gridCol w:w="1161"/>
        <w:gridCol w:w="1266"/>
        <w:gridCol w:w="1056"/>
      </w:tblGrid>
      <w:tr w14:paraId="128C3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07536E5">
            <w:pPr>
              <w:pStyle w:val="41"/>
              <w:jc w:val="center"/>
              <w:rPr>
                <w:rFonts w:hint="default" w:ascii="Times New Roman" w:hAnsi="Times New Roman"/>
                <w:sz w:val="21"/>
                <w:szCs w:val="21"/>
              </w:rPr>
            </w:pPr>
            <w:r>
              <w:rPr>
                <w:rFonts w:hint="default" w:ascii="Times New Roman" w:hAnsi="Times New Roman"/>
                <w:sz w:val="21"/>
                <w:szCs w:val="21"/>
              </w:rPr>
              <w:t>点位</w:t>
            </w:r>
          </w:p>
        </w:tc>
        <w:tc>
          <w:tcPr>
            <w:tcW w:w="0" w:type="auto"/>
            <w:vAlign w:val="center"/>
          </w:tcPr>
          <w:p w14:paraId="5BC7EAF9">
            <w:pPr>
              <w:pStyle w:val="41"/>
              <w:jc w:val="center"/>
              <w:rPr>
                <w:rFonts w:hint="default" w:ascii="Times New Roman" w:hAnsi="Times New Roman"/>
                <w:sz w:val="21"/>
                <w:szCs w:val="21"/>
              </w:rPr>
            </w:pPr>
            <w:r>
              <w:rPr>
                <w:rFonts w:hint="default" w:ascii="Times New Roman" w:hAnsi="Times New Roman"/>
                <w:sz w:val="21"/>
                <w:szCs w:val="21"/>
              </w:rPr>
              <w:t>测量位置</w:t>
            </w:r>
          </w:p>
        </w:tc>
        <w:tc>
          <w:tcPr>
            <w:tcW w:w="0" w:type="auto"/>
            <w:vAlign w:val="center"/>
          </w:tcPr>
          <w:p w14:paraId="1F8E2EFF">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γ剂量率</w:t>
            </w:r>
          </w:p>
          <w:p w14:paraId="2CADACA1">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（nGy/h）</w:t>
            </w:r>
          </w:p>
        </w:tc>
        <w:tc>
          <w:tcPr>
            <w:tcW w:w="0" w:type="auto"/>
            <w:vAlign w:val="center"/>
          </w:tcPr>
          <w:p w14:paraId="1DC4549D">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中子剂量率</w:t>
            </w:r>
          </w:p>
          <w:p w14:paraId="0FEEC063">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（μSv/h）</w:t>
            </w:r>
          </w:p>
        </w:tc>
        <w:tc>
          <w:tcPr>
            <w:tcW w:w="0" w:type="auto"/>
            <w:vAlign w:val="center"/>
          </w:tcPr>
          <w:p w14:paraId="55575607">
            <w:pPr>
              <w:pStyle w:val="41"/>
              <w:jc w:val="center"/>
              <w:rPr>
                <w:rFonts w:hint="default" w:ascii="Times New Roman" w:hAnsi="Times New Roman"/>
                <w:sz w:val="21"/>
                <w:szCs w:val="21"/>
              </w:rPr>
            </w:pPr>
            <w:r>
              <w:rPr>
                <w:rFonts w:hint="default" w:ascii="Times New Roman" w:hAnsi="Times New Roman"/>
                <w:sz w:val="21"/>
                <w:szCs w:val="21"/>
              </w:rPr>
              <w:t>备注</w:t>
            </w:r>
          </w:p>
        </w:tc>
      </w:tr>
      <w:tr w14:paraId="74271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71A213B">
            <w:pPr>
              <w:pStyle w:val="41"/>
              <w:jc w:val="center"/>
              <w:rPr>
                <w:rFonts w:hint="default" w:ascii="Times New Roman" w:hAnsi="Times New Roman"/>
                <w:sz w:val="21"/>
                <w:szCs w:val="21"/>
              </w:rPr>
            </w:pPr>
            <w:r>
              <w:rPr>
                <w:rFonts w:hint="default" w:ascii="Times New Roman" w:hAnsi="Times New Roman"/>
                <w:sz w:val="21"/>
                <w:szCs w:val="21"/>
              </w:rPr>
              <w:t>1#</w:t>
            </w:r>
          </w:p>
        </w:tc>
        <w:tc>
          <w:tcPr>
            <w:tcW w:w="0" w:type="auto"/>
            <w:vAlign w:val="center"/>
          </w:tcPr>
          <w:p w14:paraId="307994E0">
            <w:pPr>
              <w:pStyle w:val="41"/>
              <w:jc w:val="center"/>
              <w:rPr>
                <w:rFonts w:hint="default" w:ascii="Times New Roman" w:hAnsi="Times New Roman"/>
                <w:sz w:val="21"/>
                <w:szCs w:val="21"/>
              </w:rPr>
            </w:pPr>
            <w:r>
              <w:rPr>
                <w:rFonts w:hint="default" w:ascii="Times New Roman" w:hAnsi="Times New Roman"/>
                <w:sz w:val="21"/>
                <w:szCs w:val="21"/>
              </w:rPr>
              <w:t>拟建场址西北侧</w:t>
            </w:r>
          </w:p>
        </w:tc>
        <w:tc>
          <w:tcPr>
            <w:tcW w:w="0" w:type="auto"/>
            <w:vAlign w:val="center"/>
          </w:tcPr>
          <w:p w14:paraId="435110F1">
            <w:pPr>
              <w:pStyle w:val="41"/>
              <w:jc w:val="center"/>
              <w:rPr>
                <w:rFonts w:hint="default" w:ascii="Times New Roman" w:hAnsi="Times New Roman"/>
                <w:sz w:val="21"/>
                <w:szCs w:val="21"/>
              </w:rPr>
            </w:pPr>
            <w:r>
              <w:rPr>
                <w:rFonts w:hint="default" w:ascii="Times New Roman" w:hAnsi="Times New Roman"/>
                <w:sz w:val="21"/>
                <w:szCs w:val="21"/>
              </w:rPr>
              <w:t>121±1</w:t>
            </w:r>
          </w:p>
        </w:tc>
        <w:tc>
          <w:tcPr>
            <w:tcW w:w="0" w:type="auto"/>
            <w:vAlign w:val="center"/>
          </w:tcPr>
          <w:p w14:paraId="1803D6E7">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Merge w:val="restart"/>
            <w:vAlign w:val="center"/>
          </w:tcPr>
          <w:p w14:paraId="66581E3A">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室外</w:t>
            </w:r>
          </w:p>
          <w:p w14:paraId="5D8C8DC1">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（沙土）</w:t>
            </w:r>
          </w:p>
        </w:tc>
      </w:tr>
      <w:tr w14:paraId="12A21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B3178B9">
            <w:pPr>
              <w:pStyle w:val="41"/>
              <w:jc w:val="center"/>
              <w:rPr>
                <w:rFonts w:hint="default" w:ascii="Times New Roman" w:hAnsi="Times New Roman"/>
                <w:sz w:val="21"/>
                <w:szCs w:val="21"/>
              </w:rPr>
            </w:pPr>
            <w:r>
              <w:rPr>
                <w:rFonts w:hint="default" w:ascii="Times New Roman" w:hAnsi="Times New Roman"/>
                <w:sz w:val="21"/>
                <w:szCs w:val="21"/>
              </w:rPr>
              <w:t>2#</w:t>
            </w:r>
          </w:p>
        </w:tc>
        <w:tc>
          <w:tcPr>
            <w:tcW w:w="0" w:type="auto"/>
            <w:vAlign w:val="center"/>
          </w:tcPr>
          <w:p w14:paraId="53F1165D">
            <w:pPr>
              <w:pStyle w:val="41"/>
              <w:jc w:val="center"/>
              <w:rPr>
                <w:rFonts w:hint="default" w:ascii="Times New Roman" w:hAnsi="Times New Roman"/>
                <w:sz w:val="21"/>
                <w:szCs w:val="21"/>
              </w:rPr>
            </w:pPr>
            <w:r>
              <w:rPr>
                <w:rFonts w:hint="default" w:ascii="Times New Roman" w:hAnsi="Times New Roman"/>
                <w:sz w:val="21"/>
                <w:szCs w:val="21"/>
              </w:rPr>
              <w:t>拟建场址南侧</w:t>
            </w:r>
          </w:p>
        </w:tc>
        <w:tc>
          <w:tcPr>
            <w:tcW w:w="0" w:type="auto"/>
            <w:vAlign w:val="center"/>
          </w:tcPr>
          <w:p w14:paraId="62F3E0B9">
            <w:pPr>
              <w:pStyle w:val="41"/>
              <w:jc w:val="center"/>
              <w:rPr>
                <w:rFonts w:hint="default" w:ascii="Times New Roman" w:hAnsi="Times New Roman"/>
                <w:sz w:val="21"/>
                <w:szCs w:val="21"/>
              </w:rPr>
            </w:pPr>
            <w:r>
              <w:rPr>
                <w:rFonts w:hint="default" w:ascii="Times New Roman" w:hAnsi="Times New Roman"/>
                <w:sz w:val="21"/>
                <w:szCs w:val="21"/>
              </w:rPr>
              <w:t>123±1</w:t>
            </w:r>
          </w:p>
        </w:tc>
        <w:tc>
          <w:tcPr>
            <w:tcW w:w="0" w:type="auto"/>
            <w:vAlign w:val="center"/>
          </w:tcPr>
          <w:p w14:paraId="41010B79">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Merge w:val="continue"/>
            <w:vAlign w:val="center"/>
          </w:tcPr>
          <w:p w14:paraId="6021FADF">
            <w:pPr>
              <w:pStyle w:val="41"/>
              <w:spacing w:before="0" w:beforeAutospacing="0" w:after="0" w:afterAutospacing="0"/>
              <w:jc w:val="center"/>
              <w:rPr>
                <w:rFonts w:hint="default" w:ascii="Times New Roman" w:hAnsi="Times New Roman"/>
                <w:sz w:val="21"/>
                <w:szCs w:val="21"/>
              </w:rPr>
            </w:pPr>
          </w:p>
        </w:tc>
      </w:tr>
      <w:tr w14:paraId="197AB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F257CEF">
            <w:pPr>
              <w:pStyle w:val="41"/>
              <w:jc w:val="center"/>
              <w:rPr>
                <w:rFonts w:hint="default" w:ascii="Times New Roman" w:hAnsi="Times New Roman"/>
                <w:sz w:val="21"/>
                <w:szCs w:val="21"/>
              </w:rPr>
            </w:pPr>
            <w:r>
              <w:rPr>
                <w:rFonts w:hint="default" w:ascii="Times New Roman" w:hAnsi="Times New Roman"/>
                <w:sz w:val="21"/>
                <w:szCs w:val="21"/>
              </w:rPr>
              <w:t>3#</w:t>
            </w:r>
          </w:p>
        </w:tc>
        <w:tc>
          <w:tcPr>
            <w:tcW w:w="0" w:type="auto"/>
            <w:vAlign w:val="center"/>
          </w:tcPr>
          <w:p w14:paraId="0C36D1CA">
            <w:pPr>
              <w:pStyle w:val="41"/>
              <w:jc w:val="center"/>
              <w:rPr>
                <w:rFonts w:hint="default" w:ascii="Times New Roman" w:hAnsi="Times New Roman"/>
                <w:sz w:val="21"/>
                <w:szCs w:val="21"/>
              </w:rPr>
            </w:pPr>
            <w:r>
              <w:rPr>
                <w:rFonts w:hint="default" w:ascii="Times New Roman" w:hAnsi="Times New Roman"/>
                <w:sz w:val="21"/>
                <w:szCs w:val="21"/>
              </w:rPr>
              <w:t>拟建场址东北侧</w:t>
            </w:r>
          </w:p>
        </w:tc>
        <w:tc>
          <w:tcPr>
            <w:tcW w:w="0" w:type="auto"/>
            <w:vAlign w:val="center"/>
          </w:tcPr>
          <w:p w14:paraId="2E1AFAB1">
            <w:pPr>
              <w:pStyle w:val="41"/>
              <w:jc w:val="center"/>
              <w:rPr>
                <w:rFonts w:hint="default" w:ascii="Times New Roman" w:hAnsi="Times New Roman"/>
                <w:sz w:val="21"/>
                <w:szCs w:val="21"/>
              </w:rPr>
            </w:pPr>
            <w:r>
              <w:rPr>
                <w:rFonts w:hint="default" w:ascii="Times New Roman" w:hAnsi="Times New Roman"/>
                <w:sz w:val="21"/>
                <w:szCs w:val="21"/>
              </w:rPr>
              <w:t>122±1</w:t>
            </w:r>
          </w:p>
        </w:tc>
        <w:tc>
          <w:tcPr>
            <w:tcW w:w="0" w:type="auto"/>
            <w:vAlign w:val="center"/>
          </w:tcPr>
          <w:p w14:paraId="5C1016A4">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Merge w:val="continue"/>
            <w:vAlign w:val="center"/>
          </w:tcPr>
          <w:p w14:paraId="70417036">
            <w:pPr>
              <w:pStyle w:val="41"/>
              <w:spacing w:before="0" w:beforeAutospacing="0" w:after="0" w:afterAutospacing="0"/>
              <w:jc w:val="center"/>
              <w:rPr>
                <w:rFonts w:hint="default" w:ascii="Times New Roman" w:hAnsi="Times New Roman"/>
                <w:sz w:val="21"/>
                <w:szCs w:val="21"/>
              </w:rPr>
            </w:pPr>
          </w:p>
        </w:tc>
      </w:tr>
      <w:tr w14:paraId="14678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2EF5C0A">
            <w:pPr>
              <w:pStyle w:val="41"/>
              <w:jc w:val="center"/>
              <w:rPr>
                <w:rFonts w:hint="default" w:ascii="Times New Roman" w:hAnsi="Times New Roman"/>
                <w:sz w:val="21"/>
                <w:szCs w:val="21"/>
              </w:rPr>
            </w:pPr>
            <w:r>
              <w:rPr>
                <w:rFonts w:hint="default" w:ascii="Times New Roman" w:hAnsi="Times New Roman"/>
                <w:sz w:val="21"/>
                <w:szCs w:val="21"/>
              </w:rPr>
              <w:t>4#</w:t>
            </w:r>
          </w:p>
        </w:tc>
        <w:tc>
          <w:tcPr>
            <w:tcW w:w="0" w:type="auto"/>
            <w:vAlign w:val="center"/>
          </w:tcPr>
          <w:p w14:paraId="03AAB96A">
            <w:pPr>
              <w:pStyle w:val="41"/>
              <w:jc w:val="center"/>
              <w:rPr>
                <w:rFonts w:hint="default" w:ascii="Times New Roman" w:hAnsi="Times New Roman"/>
                <w:sz w:val="21"/>
                <w:szCs w:val="21"/>
              </w:rPr>
            </w:pPr>
            <w:r>
              <w:rPr>
                <w:rFonts w:hint="default" w:ascii="Times New Roman" w:hAnsi="Times New Roman"/>
                <w:sz w:val="21"/>
                <w:szCs w:val="21"/>
              </w:rPr>
              <w:t>拟建场址东侧100m处道路</w:t>
            </w:r>
          </w:p>
        </w:tc>
        <w:tc>
          <w:tcPr>
            <w:tcW w:w="0" w:type="auto"/>
            <w:vAlign w:val="center"/>
          </w:tcPr>
          <w:p w14:paraId="4797B973">
            <w:pPr>
              <w:pStyle w:val="41"/>
              <w:jc w:val="center"/>
              <w:rPr>
                <w:rFonts w:hint="default" w:ascii="Times New Roman" w:hAnsi="Times New Roman"/>
                <w:sz w:val="21"/>
                <w:szCs w:val="21"/>
              </w:rPr>
            </w:pPr>
            <w:r>
              <w:rPr>
                <w:rFonts w:hint="default" w:ascii="Times New Roman" w:hAnsi="Times New Roman"/>
                <w:sz w:val="21"/>
                <w:szCs w:val="21"/>
              </w:rPr>
              <w:t>95±2</w:t>
            </w:r>
          </w:p>
        </w:tc>
        <w:tc>
          <w:tcPr>
            <w:tcW w:w="0" w:type="auto"/>
            <w:vAlign w:val="center"/>
          </w:tcPr>
          <w:p w14:paraId="22B2557C">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Merge w:val="restart"/>
            <w:vAlign w:val="center"/>
          </w:tcPr>
          <w:p w14:paraId="2E862E52">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室外</w:t>
            </w:r>
          </w:p>
          <w:p w14:paraId="6CABC313">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（水泥）</w:t>
            </w:r>
          </w:p>
        </w:tc>
      </w:tr>
      <w:tr w14:paraId="6CA9A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3C2C844">
            <w:pPr>
              <w:pStyle w:val="41"/>
              <w:jc w:val="center"/>
              <w:rPr>
                <w:rFonts w:hint="default" w:ascii="Times New Roman" w:hAnsi="Times New Roman"/>
                <w:sz w:val="21"/>
                <w:szCs w:val="21"/>
              </w:rPr>
            </w:pPr>
            <w:r>
              <w:rPr>
                <w:rFonts w:hint="default" w:ascii="Times New Roman" w:hAnsi="Times New Roman"/>
                <w:sz w:val="21"/>
                <w:szCs w:val="21"/>
              </w:rPr>
              <w:t>5#</w:t>
            </w:r>
          </w:p>
        </w:tc>
        <w:tc>
          <w:tcPr>
            <w:tcW w:w="0" w:type="auto"/>
            <w:vAlign w:val="center"/>
          </w:tcPr>
          <w:p w14:paraId="4289D695">
            <w:pPr>
              <w:pStyle w:val="41"/>
              <w:jc w:val="center"/>
              <w:rPr>
                <w:rFonts w:hint="default" w:ascii="Times New Roman" w:hAnsi="Times New Roman"/>
                <w:sz w:val="21"/>
                <w:szCs w:val="21"/>
              </w:rPr>
            </w:pPr>
            <w:r>
              <w:rPr>
                <w:rFonts w:hint="default" w:ascii="Times New Roman" w:hAnsi="Times New Roman"/>
                <w:sz w:val="21"/>
                <w:szCs w:val="21"/>
              </w:rPr>
              <w:t>拟建场址东北侧100m处道路</w:t>
            </w:r>
          </w:p>
        </w:tc>
        <w:tc>
          <w:tcPr>
            <w:tcW w:w="0" w:type="auto"/>
            <w:vAlign w:val="center"/>
          </w:tcPr>
          <w:p w14:paraId="3CF9F1F6">
            <w:pPr>
              <w:pStyle w:val="41"/>
              <w:jc w:val="center"/>
              <w:rPr>
                <w:rFonts w:hint="default" w:ascii="Times New Roman" w:hAnsi="Times New Roman"/>
                <w:sz w:val="21"/>
                <w:szCs w:val="21"/>
              </w:rPr>
            </w:pPr>
            <w:r>
              <w:rPr>
                <w:rFonts w:hint="default" w:ascii="Times New Roman" w:hAnsi="Times New Roman"/>
                <w:sz w:val="21"/>
                <w:szCs w:val="21"/>
              </w:rPr>
              <w:t>139±1</w:t>
            </w:r>
          </w:p>
        </w:tc>
        <w:tc>
          <w:tcPr>
            <w:tcW w:w="0" w:type="auto"/>
            <w:vAlign w:val="center"/>
          </w:tcPr>
          <w:p w14:paraId="5BC4506B">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Merge w:val="continue"/>
            <w:vAlign w:val="center"/>
          </w:tcPr>
          <w:p w14:paraId="154E01D9">
            <w:pPr>
              <w:pStyle w:val="41"/>
              <w:spacing w:before="0" w:beforeAutospacing="0" w:after="0" w:afterAutospacing="0"/>
              <w:jc w:val="center"/>
              <w:rPr>
                <w:rFonts w:hint="default" w:ascii="Times New Roman" w:hAnsi="Times New Roman"/>
                <w:sz w:val="21"/>
                <w:szCs w:val="21"/>
              </w:rPr>
            </w:pPr>
          </w:p>
        </w:tc>
      </w:tr>
      <w:tr w14:paraId="05D38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39209B0">
            <w:pPr>
              <w:pStyle w:val="41"/>
              <w:jc w:val="center"/>
              <w:rPr>
                <w:rFonts w:hint="default" w:ascii="Times New Roman" w:hAnsi="Times New Roman"/>
                <w:sz w:val="21"/>
                <w:szCs w:val="21"/>
              </w:rPr>
            </w:pPr>
            <w:r>
              <w:rPr>
                <w:rFonts w:hint="default" w:ascii="Times New Roman" w:hAnsi="Times New Roman"/>
                <w:sz w:val="21"/>
                <w:szCs w:val="21"/>
              </w:rPr>
              <w:t>6#</w:t>
            </w:r>
          </w:p>
        </w:tc>
        <w:tc>
          <w:tcPr>
            <w:tcW w:w="0" w:type="auto"/>
            <w:vAlign w:val="center"/>
          </w:tcPr>
          <w:p w14:paraId="548A7230">
            <w:pPr>
              <w:pStyle w:val="41"/>
              <w:jc w:val="center"/>
              <w:rPr>
                <w:rFonts w:hint="default" w:ascii="Times New Roman" w:hAnsi="Times New Roman"/>
                <w:sz w:val="21"/>
                <w:szCs w:val="21"/>
              </w:rPr>
            </w:pPr>
            <w:r>
              <w:rPr>
                <w:rFonts w:hint="default" w:ascii="Times New Roman" w:hAnsi="Times New Roman"/>
                <w:sz w:val="21"/>
                <w:szCs w:val="21"/>
              </w:rPr>
              <w:t>拟建场址东北侧100m处医院门诊一楼走廊</w:t>
            </w:r>
          </w:p>
        </w:tc>
        <w:tc>
          <w:tcPr>
            <w:tcW w:w="0" w:type="auto"/>
            <w:vAlign w:val="center"/>
          </w:tcPr>
          <w:p w14:paraId="5E4B7FB1">
            <w:pPr>
              <w:pStyle w:val="41"/>
              <w:jc w:val="center"/>
              <w:rPr>
                <w:rFonts w:hint="default" w:ascii="Times New Roman" w:hAnsi="Times New Roman"/>
                <w:sz w:val="21"/>
                <w:szCs w:val="21"/>
              </w:rPr>
            </w:pPr>
            <w:r>
              <w:rPr>
                <w:rFonts w:hint="default" w:ascii="Times New Roman" w:hAnsi="Times New Roman"/>
                <w:sz w:val="21"/>
                <w:szCs w:val="21"/>
              </w:rPr>
              <w:t>129±1</w:t>
            </w:r>
          </w:p>
        </w:tc>
        <w:tc>
          <w:tcPr>
            <w:tcW w:w="0" w:type="auto"/>
            <w:vAlign w:val="center"/>
          </w:tcPr>
          <w:p w14:paraId="116E847E">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Align w:val="center"/>
          </w:tcPr>
          <w:p w14:paraId="57DD8B6C">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室内</w:t>
            </w:r>
          </w:p>
          <w:p w14:paraId="693A8A2B">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（瓷砖）</w:t>
            </w:r>
          </w:p>
        </w:tc>
      </w:tr>
      <w:tr w14:paraId="44716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01FFFBC">
            <w:pPr>
              <w:pStyle w:val="41"/>
              <w:jc w:val="center"/>
              <w:rPr>
                <w:rFonts w:hint="default" w:ascii="Times New Roman" w:hAnsi="Times New Roman"/>
                <w:sz w:val="21"/>
                <w:szCs w:val="21"/>
              </w:rPr>
            </w:pPr>
            <w:r>
              <w:rPr>
                <w:rFonts w:hint="default" w:ascii="Times New Roman" w:hAnsi="Times New Roman"/>
                <w:sz w:val="21"/>
                <w:szCs w:val="21"/>
              </w:rPr>
              <w:t>7#</w:t>
            </w:r>
          </w:p>
        </w:tc>
        <w:tc>
          <w:tcPr>
            <w:tcW w:w="0" w:type="auto"/>
            <w:vAlign w:val="center"/>
          </w:tcPr>
          <w:p w14:paraId="06A281A7">
            <w:pPr>
              <w:pStyle w:val="41"/>
              <w:jc w:val="center"/>
              <w:rPr>
                <w:rFonts w:hint="default" w:ascii="Times New Roman" w:hAnsi="Times New Roman"/>
                <w:sz w:val="21"/>
                <w:szCs w:val="21"/>
              </w:rPr>
            </w:pPr>
            <w:r>
              <w:rPr>
                <w:rFonts w:hint="default" w:ascii="Times New Roman" w:hAnsi="Times New Roman"/>
                <w:sz w:val="21"/>
                <w:szCs w:val="21"/>
              </w:rPr>
              <w:t>拟建场址北侧100m处综合楼旁走道</w:t>
            </w:r>
          </w:p>
        </w:tc>
        <w:tc>
          <w:tcPr>
            <w:tcW w:w="0" w:type="auto"/>
            <w:vAlign w:val="center"/>
          </w:tcPr>
          <w:p w14:paraId="2354998B">
            <w:pPr>
              <w:pStyle w:val="41"/>
              <w:jc w:val="center"/>
              <w:rPr>
                <w:rFonts w:hint="default" w:ascii="Times New Roman" w:hAnsi="Times New Roman"/>
                <w:sz w:val="21"/>
                <w:szCs w:val="21"/>
              </w:rPr>
            </w:pPr>
            <w:r>
              <w:rPr>
                <w:rFonts w:hint="default" w:ascii="Times New Roman" w:hAnsi="Times New Roman"/>
                <w:sz w:val="21"/>
                <w:szCs w:val="21"/>
              </w:rPr>
              <w:t>131±1</w:t>
            </w:r>
          </w:p>
        </w:tc>
        <w:tc>
          <w:tcPr>
            <w:tcW w:w="0" w:type="auto"/>
            <w:vAlign w:val="center"/>
          </w:tcPr>
          <w:p w14:paraId="7F9333F9">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Align w:val="center"/>
          </w:tcPr>
          <w:p w14:paraId="4D3DC66D">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室外</w:t>
            </w:r>
          </w:p>
          <w:p w14:paraId="55F21DE3">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（水泥）</w:t>
            </w:r>
          </w:p>
        </w:tc>
      </w:tr>
      <w:tr w14:paraId="22432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CDFD528">
            <w:pPr>
              <w:pStyle w:val="41"/>
              <w:jc w:val="center"/>
              <w:rPr>
                <w:rFonts w:hint="default" w:ascii="Times New Roman" w:hAnsi="Times New Roman"/>
                <w:sz w:val="21"/>
                <w:szCs w:val="21"/>
              </w:rPr>
            </w:pPr>
            <w:r>
              <w:rPr>
                <w:rFonts w:hint="default" w:ascii="Times New Roman" w:hAnsi="Times New Roman"/>
                <w:sz w:val="21"/>
                <w:szCs w:val="21"/>
              </w:rPr>
              <w:t>8#</w:t>
            </w:r>
          </w:p>
        </w:tc>
        <w:tc>
          <w:tcPr>
            <w:tcW w:w="0" w:type="auto"/>
            <w:vAlign w:val="center"/>
          </w:tcPr>
          <w:p w14:paraId="42013001">
            <w:pPr>
              <w:pStyle w:val="41"/>
              <w:jc w:val="center"/>
              <w:rPr>
                <w:rFonts w:hint="default" w:ascii="Times New Roman" w:hAnsi="Times New Roman"/>
                <w:sz w:val="21"/>
                <w:szCs w:val="21"/>
              </w:rPr>
            </w:pPr>
            <w:r>
              <w:rPr>
                <w:rFonts w:hint="default" w:ascii="Times New Roman" w:hAnsi="Times New Roman"/>
                <w:sz w:val="21"/>
                <w:szCs w:val="21"/>
              </w:rPr>
              <w:t>拟建场址西北侧100m处发热门诊旁草坪</w:t>
            </w:r>
          </w:p>
        </w:tc>
        <w:tc>
          <w:tcPr>
            <w:tcW w:w="0" w:type="auto"/>
            <w:vAlign w:val="center"/>
          </w:tcPr>
          <w:p w14:paraId="429B7359">
            <w:pPr>
              <w:pStyle w:val="41"/>
              <w:jc w:val="center"/>
              <w:rPr>
                <w:rFonts w:hint="default" w:ascii="Times New Roman" w:hAnsi="Times New Roman"/>
                <w:sz w:val="21"/>
                <w:szCs w:val="21"/>
              </w:rPr>
            </w:pPr>
            <w:r>
              <w:rPr>
                <w:rFonts w:hint="default" w:ascii="Times New Roman" w:hAnsi="Times New Roman"/>
                <w:sz w:val="21"/>
                <w:szCs w:val="21"/>
              </w:rPr>
              <w:t>128±1</w:t>
            </w:r>
          </w:p>
        </w:tc>
        <w:tc>
          <w:tcPr>
            <w:tcW w:w="0" w:type="auto"/>
            <w:vAlign w:val="center"/>
          </w:tcPr>
          <w:p w14:paraId="60A50721">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Align w:val="center"/>
          </w:tcPr>
          <w:p w14:paraId="360F691C">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室外</w:t>
            </w:r>
          </w:p>
          <w:p w14:paraId="08403523">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（土壤）</w:t>
            </w:r>
          </w:p>
        </w:tc>
      </w:tr>
      <w:tr w14:paraId="6AC47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5C7FF38">
            <w:pPr>
              <w:pStyle w:val="41"/>
              <w:jc w:val="center"/>
              <w:rPr>
                <w:rFonts w:hint="default" w:ascii="Times New Roman" w:hAnsi="Times New Roman"/>
                <w:sz w:val="21"/>
                <w:szCs w:val="21"/>
              </w:rPr>
            </w:pPr>
            <w:r>
              <w:rPr>
                <w:rFonts w:hint="default" w:ascii="Times New Roman" w:hAnsi="Times New Roman"/>
                <w:sz w:val="21"/>
                <w:szCs w:val="21"/>
              </w:rPr>
              <w:t>9#</w:t>
            </w:r>
          </w:p>
        </w:tc>
        <w:tc>
          <w:tcPr>
            <w:tcW w:w="0" w:type="auto"/>
            <w:vAlign w:val="center"/>
          </w:tcPr>
          <w:p w14:paraId="6496C3CF">
            <w:pPr>
              <w:pStyle w:val="41"/>
              <w:jc w:val="center"/>
              <w:rPr>
                <w:rFonts w:hint="default" w:ascii="Times New Roman" w:hAnsi="Times New Roman"/>
                <w:sz w:val="21"/>
                <w:szCs w:val="21"/>
              </w:rPr>
            </w:pPr>
            <w:r>
              <w:rPr>
                <w:rFonts w:hint="default" w:ascii="Times New Roman" w:hAnsi="Times New Roman"/>
                <w:sz w:val="21"/>
                <w:szCs w:val="21"/>
              </w:rPr>
              <w:t>拟建场址西侧100m处救护车洗消中心门口</w:t>
            </w:r>
          </w:p>
        </w:tc>
        <w:tc>
          <w:tcPr>
            <w:tcW w:w="0" w:type="auto"/>
            <w:vAlign w:val="center"/>
          </w:tcPr>
          <w:p w14:paraId="06E2CC72">
            <w:pPr>
              <w:pStyle w:val="41"/>
              <w:jc w:val="center"/>
              <w:rPr>
                <w:rFonts w:hint="default" w:ascii="Times New Roman" w:hAnsi="Times New Roman"/>
                <w:sz w:val="21"/>
                <w:szCs w:val="21"/>
              </w:rPr>
            </w:pPr>
            <w:r>
              <w:rPr>
                <w:rFonts w:hint="default" w:ascii="Times New Roman" w:hAnsi="Times New Roman"/>
                <w:sz w:val="21"/>
                <w:szCs w:val="21"/>
              </w:rPr>
              <w:t>91±1</w:t>
            </w:r>
          </w:p>
        </w:tc>
        <w:tc>
          <w:tcPr>
            <w:tcW w:w="0" w:type="auto"/>
            <w:vAlign w:val="center"/>
          </w:tcPr>
          <w:p w14:paraId="45C9E8A3">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Merge w:val="restart"/>
            <w:vAlign w:val="center"/>
          </w:tcPr>
          <w:p w14:paraId="6DEE8A08">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室外</w:t>
            </w:r>
          </w:p>
          <w:p w14:paraId="7332466B">
            <w:pPr>
              <w:pStyle w:val="41"/>
              <w:spacing w:before="0" w:beforeAutospacing="0" w:after="0" w:afterAutospacing="0"/>
              <w:jc w:val="center"/>
              <w:rPr>
                <w:rFonts w:hint="default" w:ascii="Times New Roman" w:hAnsi="Times New Roman"/>
                <w:sz w:val="21"/>
                <w:szCs w:val="21"/>
              </w:rPr>
            </w:pPr>
            <w:r>
              <w:rPr>
                <w:rFonts w:hint="default" w:ascii="Times New Roman" w:hAnsi="Times New Roman"/>
                <w:sz w:val="21"/>
                <w:szCs w:val="21"/>
              </w:rPr>
              <w:t>（水泥）</w:t>
            </w:r>
          </w:p>
        </w:tc>
      </w:tr>
      <w:tr w14:paraId="31704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F2CD93D">
            <w:pPr>
              <w:pStyle w:val="41"/>
              <w:jc w:val="center"/>
              <w:rPr>
                <w:rFonts w:hint="default" w:ascii="Times New Roman" w:hAnsi="Times New Roman"/>
                <w:sz w:val="21"/>
                <w:szCs w:val="21"/>
              </w:rPr>
            </w:pPr>
            <w:r>
              <w:rPr>
                <w:rFonts w:hint="default" w:ascii="Times New Roman" w:hAnsi="Times New Roman"/>
                <w:sz w:val="21"/>
                <w:szCs w:val="21"/>
              </w:rPr>
              <w:t>10#</w:t>
            </w:r>
          </w:p>
        </w:tc>
        <w:tc>
          <w:tcPr>
            <w:tcW w:w="0" w:type="auto"/>
            <w:vAlign w:val="center"/>
          </w:tcPr>
          <w:p w14:paraId="4696A73E">
            <w:pPr>
              <w:pStyle w:val="41"/>
              <w:jc w:val="center"/>
              <w:rPr>
                <w:rFonts w:hint="default" w:ascii="Times New Roman" w:hAnsi="Times New Roman"/>
                <w:sz w:val="21"/>
                <w:szCs w:val="21"/>
              </w:rPr>
            </w:pPr>
            <w:r>
              <w:rPr>
                <w:rFonts w:hint="default" w:ascii="Times New Roman" w:hAnsi="Times New Roman"/>
                <w:sz w:val="21"/>
                <w:szCs w:val="21"/>
              </w:rPr>
              <w:t>拟建场址南侧100m处暹岗社区居委会门口</w:t>
            </w:r>
          </w:p>
        </w:tc>
        <w:tc>
          <w:tcPr>
            <w:tcW w:w="0" w:type="auto"/>
            <w:vAlign w:val="center"/>
          </w:tcPr>
          <w:p w14:paraId="1C9AC433">
            <w:pPr>
              <w:pStyle w:val="41"/>
              <w:jc w:val="center"/>
              <w:rPr>
                <w:rFonts w:hint="default" w:ascii="Times New Roman" w:hAnsi="Times New Roman"/>
                <w:sz w:val="21"/>
                <w:szCs w:val="21"/>
              </w:rPr>
            </w:pPr>
            <w:r>
              <w:rPr>
                <w:rFonts w:hint="default" w:ascii="Times New Roman" w:hAnsi="Times New Roman"/>
                <w:sz w:val="21"/>
                <w:szCs w:val="21"/>
              </w:rPr>
              <w:t>111±1</w:t>
            </w:r>
          </w:p>
        </w:tc>
        <w:tc>
          <w:tcPr>
            <w:tcW w:w="0" w:type="auto"/>
            <w:vAlign w:val="center"/>
          </w:tcPr>
          <w:p w14:paraId="7865A7B9">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Merge w:val="continue"/>
            <w:vAlign w:val="center"/>
          </w:tcPr>
          <w:p w14:paraId="6EE0642F">
            <w:pPr>
              <w:pStyle w:val="41"/>
              <w:jc w:val="center"/>
              <w:rPr>
                <w:rFonts w:hint="default" w:ascii="Times New Roman" w:hAnsi="Times New Roman"/>
                <w:sz w:val="21"/>
                <w:szCs w:val="21"/>
              </w:rPr>
            </w:pPr>
          </w:p>
        </w:tc>
      </w:tr>
      <w:tr w14:paraId="0C527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AA8AAB8">
            <w:pPr>
              <w:pStyle w:val="41"/>
              <w:jc w:val="center"/>
              <w:rPr>
                <w:rFonts w:hint="default" w:ascii="Times New Roman" w:hAnsi="Times New Roman"/>
                <w:sz w:val="21"/>
                <w:szCs w:val="21"/>
              </w:rPr>
            </w:pPr>
            <w:r>
              <w:rPr>
                <w:rFonts w:hint="default" w:ascii="Times New Roman" w:hAnsi="Times New Roman"/>
                <w:sz w:val="21"/>
                <w:szCs w:val="21"/>
              </w:rPr>
              <w:t>11#</w:t>
            </w:r>
          </w:p>
        </w:tc>
        <w:tc>
          <w:tcPr>
            <w:tcW w:w="0" w:type="auto"/>
            <w:vAlign w:val="center"/>
          </w:tcPr>
          <w:p w14:paraId="73AA28E9">
            <w:pPr>
              <w:pStyle w:val="41"/>
              <w:jc w:val="center"/>
              <w:rPr>
                <w:rFonts w:hint="default" w:ascii="Times New Roman" w:hAnsi="Times New Roman"/>
                <w:sz w:val="21"/>
                <w:szCs w:val="21"/>
              </w:rPr>
            </w:pPr>
            <w:r>
              <w:rPr>
                <w:rFonts w:hint="default" w:ascii="Times New Roman" w:hAnsi="Times New Roman"/>
                <w:sz w:val="21"/>
                <w:szCs w:val="21"/>
              </w:rPr>
              <w:t>拟建场址西南侧100m处1层铁皮房门口</w:t>
            </w:r>
          </w:p>
        </w:tc>
        <w:tc>
          <w:tcPr>
            <w:tcW w:w="0" w:type="auto"/>
            <w:vAlign w:val="center"/>
          </w:tcPr>
          <w:p w14:paraId="61F06B34">
            <w:pPr>
              <w:pStyle w:val="41"/>
              <w:jc w:val="center"/>
              <w:rPr>
                <w:rFonts w:hint="default" w:ascii="Times New Roman" w:hAnsi="Times New Roman"/>
                <w:sz w:val="21"/>
                <w:szCs w:val="21"/>
              </w:rPr>
            </w:pPr>
            <w:r>
              <w:rPr>
                <w:rFonts w:hint="default" w:ascii="Times New Roman" w:hAnsi="Times New Roman"/>
                <w:sz w:val="21"/>
                <w:szCs w:val="21"/>
              </w:rPr>
              <w:t>114±2</w:t>
            </w:r>
          </w:p>
        </w:tc>
        <w:tc>
          <w:tcPr>
            <w:tcW w:w="0" w:type="auto"/>
            <w:vAlign w:val="center"/>
          </w:tcPr>
          <w:p w14:paraId="5F4D8DC5">
            <w:pPr>
              <w:pStyle w:val="41"/>
              <w:jc w:val="center"/>
              <w:rPr>
                <w:rFonts w:hint="default" w:ascii="Times New Roman" w:hAnsi="Times New Roman"/>
                <w:sz w:val="21"/>
                <w:szCs w:val="21"/>
              </w:rPr>
            </w:pPr>
            <w:r>
              <w:rPr>
                <w:rFonts w:hint="default" w:ascii="Times New Roman" w:hAnsi="Times New Roman"/>
                <w:sz w:val="21"/>
                <w:szCs w:val="21"/>
              </w:rPr>
              <w:t>＜LLDn</w:t>
            </w:r>
          </w:p>
        </w:tc>
        <w:tc>
          <w:tcPr>
            <w:tcW w:w="0" w:type="auto"/>
            <w:vMerge w:val="continue"/>
            <w:vAlign w:val="center"/>
          </w:tcPr>
          <w:p w14:paraId="3D449D47">
            <w:pPr>
              <w:pStyle w:val="41"/>
              <w:jc w:val="center"/>
              <w:rPr>
                <w:rFonts w:hint="default" w:ascii="Times New Roman" w:hAnsi="Times New Roman"/>
                <w:sz w:val="21"/>
                <w:szCs w:val="21"/>
              </w:rPr>
            </w:pPr>
          </w:p>
        </w:tc>
      </w:tr>
    </w:tbl>
    <w:p w14:paraId="17AC41EA">
      <w:pPr>
        <w:pStyle w:val="8"/>
        <w:spacing w:before="0" w:beforeLines="0" w:line="240" w:lineRule="auto"/>
        <w:ind w:firstLine="0" w:firstLineChars="0"/>
        <w:rPr>
          <w:sz w:val="21"/>
          <w:szCs w:val="21"/>
          <w:lang w:eastAsia="zh-CN"/>
        </w:rPr>
      </w:pPr>
      <w:r>
        <w:rPr>
          <w:rFonts w:hint="eastAsia"/>
          <w:sz w:val="21"/>
          <w:szCs w:val="21"/>
          <w:lang w:eastAsia="zh-CN"/>
        </w:rPr>
        <w:t>注：γ剂量率监测结果均扣除宇宙射线响应值，</w:t>
      </w:r>
      <w:r>
        <w:rPr>
          <w:sz w:val="21"/>
          <w:szCs w:val="21"/>
          <w:lang w:eastAsia="zh-CN"/>
        </w:rPr>
        <w:t>宇宙射线响应值为37.3nSv/h。</w:t>
      </w:r>
    </w:p>
    <w:p w14:paraId="52ADE16C">
      <w:pPr>
        <w:pStyle w:val="8"/>
        <w:rPr>
          <w:lang w:eastAsia="zh-CN"/>
        </w:rPr>
      </w:pPr>
      <w:r>
        <w:t>由</w:t>
      </w:r>
      <w:r>
        <w:fldChar w:fldCharType="begin"/>
      </w:r>
      <w:r>
        <w:instrText xml:space="preserve"> REF _Ref470702855 \h  \* MERGEFORMAT </w:instrText>
      </w:r>
      <w:r>
        <w:fldChar w:fldCharType="separate"/>
      </w:r>
      <w:r>
        <w:t>表 2</w:t>
      </w:r>
      <w:r>
        <w:noBreakHyphen/>
      </w:r>
      <w:r>
        <w:t>4</w:t>
      </w:r>
      <w:r>
        <w:fldChar w:fldCharType="end"/>
      </w:r>
      <w:r>
        <w:t>可知，本项目拟建场址内监测点的地表γ辐射剂量率水平在（</w:t>
      </w:r>
      <w:r>
        <w:rPr>
          <w:lang w:eastAsia="zh-CN"/>
        </w:rPr>
        <w:t>91</w:t>
      </w:r>
      <w:r>
        <w:t>~</w:t>
      </w:r>
      <w:r>
        <w:rPr>
          <w:lang w:eastAsia="zh-CN"/>
        </w:rPr>
        <w:t>139</w:t>
      </w:r>
      <w:r>
        <w:t>）nGy/h</w:t>
      </w:r>
      <w:r>
        <w:rPr>
          <w:lang w:eastAsia="zh-CN"/>
        </w:rPr>
        <w:t>（扣除宇宙射线响应部分）</w:t>
      </w:r>
      <w:r>
        <w:t>范围内，中子周围剂量当量率均小于仪表</w:t>
      </w:r>
      <w:r>
        <w:rPr>
          <w:lang w:eastAsia="zh-CN"/>
        </w:rPr>
        <w:t>探测限。根据《广东省环境天然贯穿辐射水平调查研究》（广东省环境监测中心站，1989年），广州市原野天然γ剂量率为（51.8~164.8）</w:t>
      </w:r>
      <w:r>
        <w:t>nGy/h</w:t>
      </w:r>
      <w:r>
        <w:rPr>
          <w:lang w:eastAsia="zh-CN"/>
        </w:rPr>
        <w:t>、道路天然γ剂量率为（52.5~165.7）</w:t>
      </w:r>
      <w:r>
        <w:t>nGy/h</w:t>
      </w:r>
      <w:r>
        <w:rPr>
          <w:lang w:eastAsia="zh-CN"/>
        </w:rPr>
        <w:t>、室内天然γ剂量率为（104.6~264.1）</w:t>
      </w:r>
      <w:r>
        <w:t>nGy/h</w:t>
      </w:r>
      <w:r>
        <w:rPr>
          <w:lang w:eastAsia="zh-CN"/>
        </w:rPr>
        <w:t>，因此本项目拟建场址及周围环境地表γ辐射剂量率水平监测结果处于广州市环境γ辐射剂量率本底涨落范围内，项目周围环境的辐射环境质量现状无异常。</w:t>
      </w:r>
    </w:p>
    <w:p w14:paraId="73ADD2CF">
      <w:pPr>
        <w:pStyle w:val="6"/>
      </w:pPr>
      <w:r>
        <w:rPr>
          <w:lang w:eastAsia="zh-CN"/>
        </w:rPr>
        <w:t>土壤</w:t>
      </w:r>
    </w:p>
    <w:p w14:paraId="6E7D4296">
      <w:pPr>
        <w:pStyle w:val="8"/>
      </w:pPr>
      <w:r>
        <w:t>拟建场址土壤样品的分析测量结果见</w:t>
      </w:r>
      <w:r>
        <w:fldChar w:fldCharType="begin"/>
      </w:r>
      <w:r>
        <w:instrText xml:space="preserve"> REF _Ref158036919 \h  \* MERGEFORMAT </w:instrText>
      </w:r>
      <w:r>
        <w:fldChar w:fldCharType="separate"/>
      </w:r>
      <w:r>
        <w:t>表 2</w:t>
      </w:r>
      <w:r>
        <w:noBreakHyphen/>
      </w:r>
      <w:r>
        <w:t>5</w:t>
      </w:r>
      <w:r>
        <w:fldChar w:fldCharType="end"/>
      </w:r>
      <w:r>
        <w:t>。</w:t>
      </w:r>
    </w:p>
    <w:p w14:paraId="56706A34">
      <w:pPr>
        <w:pStyle w:val="15"/>
        <w:rPr>
          <w:szCs w:val="21"/>
        </w:rPr>
      </w:pPr>
      <w:bookmarkStart w:id="395" w:name="_Ref158036919"/>
      <w:bookmarkStart w:id="396" w:name="_Toc34738373"/>
      <w:bookmarkStart w:id="397" w:name="_Toc487620038"/>
      <w:bookmarkStart w:id="398" w:name="_Toc160723138"/>
      <w:r>
        <w:t xml:space="preserve">表 </w:t>
      </w:r>
      <w:r>
        <w:fldChar w:fldCharType="begin"/>
      </w:r>
      <w:r>
        <w:instrText xml:space="preserve"> STYLEREF 1 \s </w:instrText>
      </w:r>
      <w:r>
        <w:fldChar w:fldCharType="separate"/>
      </w:r>
      <w:r>
        <w:t>2</w:t>
      </w:r>
      <w:r>
        <w:fldChar w:fldCharType="end"/>
      </w:r>
      <w:r>
        <w:noBreakHyphen/>
      </w:r>
      <w:r>
        <w:fldChar w:fldCharType="begin"/>
      </w:r>
      <w:r>
        <w:instrText xml:space="preserve"> SEQ 表 \* ARABIC \s 1 </w:instrText>
      </w:r>
      <w:r>
        <w:fldChar w:fldCharType="separate"/>
      </w:r>
      <w:r>
        <w:t>5</w:t>
      </w:r>
      <w:r>
        <w:fldChar w:fldCharType="end"/>
      </w:r>
      <w:bookmarkEnd w:id="395"/>
      <w:r>
        <w:t>土壤样品监</w:t>
      </w:r>
      <w:r>
        <w:rPr>
          <w:szCs w:val="28"/>
        </w:rPr>
        <w:t>测结果</w:t>
      </w:r>
      <w:bookmarkEnd w:id="396"/>
      <w:bookmarkEnd w:id="397"/>
      <w:bookmarkEnd w:id="398"/>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3"/>
        <w:gridCol w:w="2903"/>
        <w:gridCol w:w="1304"/>
        <w:gridCol w:w="3012"/>
      </w:tblGrid>
      <w:tr w14:paraId="6ADDD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 w:hRule="atLeast"/>
          <w:jc w:val="center"/>
        </w:trPr>
        <w:tc>
          <w:tcPr>
            <w:tcW w:w="765" w:type="pct"/>
            <w:tcBorders>
              <w:top w:val="single" w:color="auto" w:sz="4" w:space="0"/>
              <w:left w:val="single" w:color="auto" w:sz="4" w:space="0"/>
              <w:bottom w:val="single" w:color="auto" w:sz="4" w:space="0"/>
              <w:right w:val="single" w:color="auto" w:sz="4" w:space="0"/>
            </w:tcBorders>
            <w:vAlign w:val="center"/>
          </w:tcPr>
          <w:p w14:paraId="31A73485">
            <w:pPr>
              <w:jc w:val="center"/>
              <w:rPr>
                <w:b/>
                <w:bCs/>
                <w:szCs w:val="21"/>
              </w:rPr>
            </w:pPr>
            <w:r>
              <w:rPr>
                <w:b/>
                <w:bCs/>
                <w:szCs w:val="21"/>
              </w:rPr>
              <w:t>样品编号</w:t>
            </w:r>
          </w:p>
        </w:tc>
        <w:tc>
          <w:tcPr>
            <w:tcW w:w="1703" w:type="pct"/>
            <w:tcBorders>
              <w:top w:val="single" w:color="auto" w:sz="4" w:space="0"/>
              <w:left w:val="single" w:color="auto" w:sz="4" w:space="0"/>
              <w:bottom w:val="single" w:color="auto" w:sz="4" w:space="0"/>
              <w:right w:val="single" w:color="auto" w:sz="4" w:space="0"/>
            </w:tcBorders>
            <w:vAlign w:val="center"/>
          </w:tcPr>
          <w:p w14:paraId="76968DCE">
            <w:pPr>
              <w:jc w:val="center"/>
              <w:rPr>
                <w:b/>
                <w:bCs/>
                <w:szCs w:val="21"/>
              </w:rPr>
            </w:pPr>
            <w:r>
              <w:rPr>
                <w:b/>
                <w:bCs/>
                <w:szCs w:val="21"/>
              </w:rPr>
              <w:t>取样点</w:t>
            </w:r>
          </w:p>
        </w:tc>
        <w:tc>
          <w:tcPr>
            <w:tcW w:w="765" w:type="pct"/>
            <w:tcBorders>
              <w:top w:val="single" w:color="auto" w:sz="4" w:space="0"/>
              <w:left w:val="single" w:color="auto" w:sz="4" w:space="0"/>
              <w:bottom w:val="single" w:color="auto" w:sz="4" w:space="0"/>
              <w:right w:val="single" w:color="auto" w:sz="4" w:space="0"/>
            </w:tcBorders>
            <w:vAlign w:val="center"/>
          </w:tcPr>
          <w:p w14:paraId="08CB2095">
            <w:pPr>
              <w:jc w:val="center"/>
              <w:rPr>
                <w:b/>
                <w:bCs/>
                <w:szCs w:val="21"/>
              </w:rPr>
            </w:pPr>
            <w:r>
              <w:rPr>
                <w:b/>
                <w:bCs/>
                <w:szCs w:val="21"/>
              </w:rPr>
              <w:t>检测项目</w:t>
            </w:r>
          </w:p>
        </w:tc>
        <w:tc>
          <w:tcPr>
            <w:tcW w:w="1767" w:type="pct"/>
            <w:tcBorders>
              <w:top w:val="single" w:color="auto" w:sz="4" w:space="0"/>
              <w:left w:val="single" w:color="auto" w:sz="4" w:space="0"/>
              <w:bottom w:val="single" w:color="auto" w:sz="4" w:space="0"/>
              <w:right w:val="single" w:color="auto" w:sz="4" w:space="0"/>
            </w:tcBorders>
            <w:vAlign w:val="center"/>
          </w:tcPr>
          <w:p w14:paraId="73ADBAA2">
            <w:pPr>
              <w:jc w:val="center"/>
              <w:rPr>
                <w:b/>
                <w:bCs/>
                <w:szCs w:val="21"/>
              </w:rPr>
            </w:pPr>
            <w:r>
              <w:rPr>
                <w:b/>
                <w:bCs/>
                <w:szCs w:val="21"/>
              </w:rPr>
              <w:t>检测结果</w:t>
            </w:r>
          </w:p>
        </w:tc>
      </w:tr>
      <w:tr w14:paraId="49660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7" w:hRule="atLeast"/>
          <w:jc w:val="center"/>
        </w:trPr>
        <w:tc>
          <w:tcPr>
            <w:tcW w:w="765" w:type="pct"/>
            <w:vMerge w:val="restart"/>
            <w:tcBorders>
              <w:top w:val="single" w:color="auto" w:sz="4" w:space="0"/>
              <w:left w:val="single" w:color="auto" w:sz="4" w:space="0"/>
              <w:right w:val="single" w:color="auto" w:sz="4" w:space="0"/>
            </w:tcBorders>
            <w:vAlign w:val="center"/>
          </w:tcPr>
          <w:p w14:paraId="5B6CA4CD">
            <w:pPr>
              <w:jc w:val="center"/>
              <w:rPr>
                <w:szCs w:val="21"/>
              </w:rPr>
            </w:pPr>
            <w:r>
              <w:rPr>
                <w:szCs w:val="21"/>
              </w:rPr>
              <w:t>土壤</w:t>
            </w:r>
          </w:p>
        </w:tc>
        <w:tc>
          <w:tcPr>
            <w:tcW w:w="1703" w:type="pct"/>
            <w:vMerge w:val="restart"/>
            <w:tcBorders>
              <w:top w:val="single" w:color="auto" w:sz="4" w:space="0"/>
              <w:left w:val="single" w:color="auto" w:sz="4" w:space="0"/>
              <w:right w:val="single" w:color="auto" w:sz="4" w:space="0"/>
            </w:tcBorders>
            <w:vAlign w:val="center"/>
          </w:tcPr>
          <w:p w14:paraId="71FB2D34">
            <w:pPr>
              <w:jc w:val="center"/>
              <w:rPr>
                <w:szCs w:val="21"/>
              </w:rPr>
            </w:pPr>
            <w:r>
              <w:rPr>
                <w:szCs w:val="21"/>
              </w:rPr>
              <w:t>质子治疗系统拟建场址内</w:t>
            </w:r>
          </w:p>
        </w:tc>
        <w:tc>
          <w:tcPr>
            <w:tcW w:w="765" w:type="pct"/>
            <w:tcBorders>
              <w:top w:val="single" w:color="auto" w:sz="4" w:space="0"/>
              <w:left w:val="single" w:color="auto" w:sz="4" w:space="0"/>
              <w:bottom w:val="single" w:color="auto" w:sz="4" w:space="0"/>
              <w:right w:val="single" w:color="auto" w:sz="4" w:space="0"/>
            </w:tcBorders>
            <w:vAlign w:val="center"/>
          </w:tcPr>
          <w:p w14:paraId="4C0210D6">
            <w:pPr>
              <w:jc w:val="center"/>
              <w:rPr>
                <w:szCs w:val="21"/>
              </w:rPr>
            </w:pPr>
            <w:r>
              <w:rPr>
                <w:szCs w:val="21"/>
                <w:vertAlign w:val="superscript"/>
              </w:rPr>
              <w:t>7</w:t>
            </w:r>
            <w:r>
              <w:rPr>
                <w:szCs w:val="21"/>
              </w:rPr>
              <w:t>Be</w:t>
            </w:r>
          </w:p>
        </w:tc>
        <w:tc>
          <w:tcPr>
            <w:tcW w:w="1767" w:type="pct"/>
            <w:tcBorders>
              <w:top w:val="single" w:color="auto" w:sz="4" w:space="0"/>
              <w:left w:val="single" w:color="auto" w:sz="4" w:space="0"/>
              <w:bottom w:val="single" w:color="auto" w:sz="4" w:space="0"/>
              <w:right w:val="single" w:color="auto" w:sz="4" w:space="0"/>
            </w:tcBorders>
            <w:vAlign w:val="center"/>
          </w:tcPr>
          <w:p w14:paraId="064CBFC8">
            <w:pPr>
              <w:jc w:val="center"/>
              <w:rPr>
                <w:szCs w:val="21"/>
              </w:rPr>
            </w:pPr>
            <w:r>
              <w:rPr>
                <w:szCs w:val="21"/>
              </w:rPr>
              <w:t>＜MDC</w:t>
            </w:r>
          </w:p>
        </w:tc>
      </w:tr>
      <w:tr w14:paraId="3EAD7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0" w:type="auto"/>
            <w:vMerge w:val="continue"/>
            <w:tcBorders>
              <w:left w:val="single" w:color="auto" w:sz="4" w:space="0"/>
              <w:right w:val="single" w:color="auto" w:sz="4" w:space="0"/>
            </w:tcBorders>
            <w:vAlign w:val="center"/>
          </w:tcPr>
          <w:p w14:paraId="6B22FFBD">
            <w:pPr>
              <w:widowControl/>
              <w:jc w:val="left"/>
              <w:rPr>
                <w:szCs w:val="21"/>
              </w:rPr>
            </w:pPr>
          </w:p>
        </w:tc>
        <w:tc>
          <w:tcPr>
            <w:tcW w:w="0" w:type="auto"/>
            <w:vMerge w:val="continue"/>
            <w:tcBorders>
              <w:left w:val="single" w:color="auto" w:sz="4" w:space="0"/>
              <w:right w:val="single" w:color="auto" w:sz="4" w:space="0"/>
            </w:tcBorders>
            <w:vAlign w:val="center"/>
          </w:tcPr>
          <w:p w14:paraId="38B9D8DE">
            <w:pPr>
              <w:widowControl/>
              <w:jc w:val="left"/>
              <w:rPr>
                <w:szCs w:val="21"/>
              </w:rPr>
            </w:pPr>
          </w:p>
        </w:tc>
        <w:tc>
          <w:tcPr>
            <w:tcW w:w="765" w:type="pct"/>
            <w:tcBorders>
              <w:top w:val="single" w:color="auto" w:sz="4" w:space="0"/>
              <w:left w:val="single" w:color="auto" w:sz="4" w:space="0"/>
              <w:bottom w:val="single" w:color="auto" w:sz="4" w:space="0"/>
              <w:right w:val="single" w:color="auto" w:sz="4" w:space="0"/>
            </w:tcBorders>
            <w:vAlign w:val="center"/>
          </w:tcPr>
          <w:p w14:paraId="4CC18301">
            <w:pPr>
              <w:jc w:val="center"/>
              <w:rPr>
                <w:szCs w:val="21"/>
              </w:rPr>
            </w:pPr>
            <w:r>
              <w:rPr>
                <w:szCs w:val="21"/>
                <w:vertAlign w:val="superscript"/>
              </w:rPr>
              <w:t>22</w:t>
            </w:r>
            <w:r>
              <w:rPr>
                <w:szCs w:val="21"/>
              </w:rPr>
              <w:t>Na</w:t>
            </w:r>
          </w:p>
        </w:tc>
        <w:tc>
          <w:tcPr>
            <w:tcW w:w="1767" w:type="pct"/>
            <w:tcBorders>
              <w:top w:val="single" w:color="auto" w:sz="4" w:space="0"/>
              <w:left w:val="single" w:color="auto" w:sz="4" w:space="0"/>
              <w:bottom w:val="single" w:color="auto" w:sz="4" w:space="0"/>
              <w:right w:val="single" w:color="auto" w:sz="4" w:space="0"/>
            </w:tcBorders>
            <w:vAlign w:val="center"/>
          </w:tcPr>
          <w:p w14:paraId="36CBACB5">
            <w:pPr>
              <w:jc w:val="center"/>
              <w:rPr>
                <w:szCs w:val="21"/>
              </w:rPr>
            </w:pPr>
            <w:r>
              <w:rPr>
                <w:szCs w:val="21"/>
              </w:rPr>
              <w:t>16.0 Bq/kg</w:t>
            </w:r>
          </w:p>
        </w:tc>
      </w:tr>
      <w:tr w14:paraId="6AD67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7" w:hRule="atLeast"/>
          <w:jc w:val="center"/>
        </w:trPr>
        <w:tc>
          <w:tcPr>
            <w:tcW w:w="0" w:type="auto"/>
            <w:vMerge w:val="continue"/>
            <w:tcBorders>
              <w:left w:val="single" w:color="auto" w:sz="4" w:space="0"/>
              <w:bottom w:val="single" w:color="auto" w:sz="4" w:space="0"/>
              <w:right w:val="single" w:color="auto" w:sz="4" w:space="0"/>
            </w:tcBorders>
            <w:vAlign w:val="center"/>
          </w:tcPr>
          <w:p w14:paraId="1F0C5F53">
            <w:pPr>
              <w:widowControl/>
              <w:jc w:val="left"/>
              <w:rPr>
                <w:szCs w:val="21"/>
              </w:rPr>
            </w:pPr>
          </w:p>
        </w:tc>
        <w:tc>
          <w:tcPr>
            <w:tcW w:w="0" w:type="auto"/>
            <w:vMerge w:val="continue"/>
            <w:tcBorders>
              <w:left w:val="single" w:color="auto" w:sz="4" w:space="0"/>
              <w:bottom w:val="single" w:color="auto" w:sz="4" w:space="0"/>
              <w:right w:val="single" w:color="auto" w:sz="4" w:space="0"/>
            </w:tcBorders>
            <w:vAlign w:val="center"/>
          </w:tcPr>
          <w:p w14:paraId="38B1B9CF">
            <w:pPr>
              <w:widowControl/>
              <w:jc w:val="left"/>
              <w:rPr>
                <w:szCs w:val="21"/>
              </w:rPr>
            </w:pPr>
          </w:p>
        </w:tc>
        <w:tc>
          <w:tcPr>
            <w:tcW w:w="765" w:type="pct"/>
            <w:tcBorders>
              <w:top w:val="single" w:color="auto" w:sz="4" w:space="0"/>
              <w:left w:val="single" w:color="auto" w:sz="4" w:space="0"/>
              <w:bottom w:val="single" w:color="auto" w:sz="4" w:space="0"/>
              <w:right w:val="single" w:color="auto" w:sz="4" w:space="0"/>
            </w:tcBorders>
            <w:vAlign w:val="center"/>
          </w:tcPr>
          <w:p w14:paraId="15321F0E">
            <w:pPr>
              <w:jc w:val="center"/>
              <w:rPr>
                <w:szCs w:val="21"/>
              </w:rPr>
            </w:pPr>
            <w:r>
              <w:rPr>
                <w:szCs w:val="21"/>
              </w:rPr>
              <w:t>总α</w:t>
            </w:r>
          </w:p>
        </w:tc>
        <w:tc>
          <w:tcPr>
            <w:tcW w:w="1767" w:type="pct"/>
            <w:tcBorders>
              <w:top w:val="single" w:color="auto" w:sz="4" w:space="0"/>
              <w:left w:val="single" w:color="auto" w:sz="4" w:space="0"/>
              <w:bottom w:val="single" w:color="auto" w:sz="4" w:space="0"/>
              <w:right w:val="single" w:color="auto" w:sz="4" w:space="0"/>
            </w:tcBorders>
            <w:vAlign w:val="center"/>
          </w:tcPr>
          <w:p w14:paraId="3EDE224B">
            <w:pPr>
              <w:jc w:val="center"/>
              <w:rPr>
                <w:szCs w:val="21"/>
              </w:rPr>
            </w:pPr>
            <w:r>
              <w:rPr>
                <w:szCs w:val="21"/>
              </w:rPr>
              <w:t>2948 Bq/kg</w:t>
            </w:r>
          </w:p>
        </w:tc>
      </w:tr>
      <w:tr w14:paraId="47878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1" w:hRule="atLeast"/>
          <w:jc w:val="center"/>
        </w:trPr>
        <w:tc>
          <w:tcPr>
            <w:tcW w:w="0" w:type="auto"/>
            <w:vMerge w:val="continue"/>
            <w:tcBorders>
              <w:left w:val="single" w:color="auto" w:sz="4" w:space="0"/>
              <w:bottom w:val="single" w:color="auto" w:sz="4" w:space="0"/>
              <w:right w:val="single" w:color="auto" w:sz="4" w:space="0"/>
            </w:tcBorders>
            <w:vAlign w:val="center"/>
          </w:tcPr>
          <w:p w14:paraId="40DF7D9A">
            <w:pPr>
              <w:widowControl/>
              <w:jc w:val="left"/>
              <w:rPr>
                <w:szCs w:val="21"/>
              </w:rPr>
            </w:pPr>
          </w:p>
        </w:tc>
        <w:tc>
          <w:tcPr>
            <w:tcW w:w="0" w:type="auto"/>
            <w:vMerge w:val="continue"/>
            <w:tcBorders>
              <w:left w:val="single" w:color="auto" w:sz="4" w:space="0"/>
              <w:bottom w:val="single" w:color="auto" w:sz="4" w:space="0"/>
              <w:right w:val="single" w:color="auto" w:sz="4" w:space="0"/>
            </w:tcBorders>
            <w:vAlign w:val="center"/>
          </w:tcPr>
          <w:p w14:paraId="58E25C2E">
            <w:pPr>
              <w:widowControl/>
              <w:jc w:val="left"/>
              <w:rPr>
                <w:szCs w:val="21"/>
              </w:rPr>
            </w:pPr>
          </w:p>
        </w:tc>
        <w:tc>
          <w:tcPr>
            <w:tcW w:w="765" w:type="pct"/>
            <w:tcBorders>
              <w:top w:val="single" w:color="auto" w:sz="4" w:space="0"/>
              <w:left w:val="single" w:color="auto" w:sz="4" w:space="0"/>
              <w:bottom w:val="single" w:color="auto" w:sz="4" w:space="0"/>
              <w:right w:val="single" w:color="auto" w:sz="4" w:space="0"/>
            </w:tcBorders>
            <w:vAlign w:val="center"/>
          </w:tcPr>
          <w:p w14:paraId="7EF72560">
            <w:pPr>
              <w:jc w:val="center"/>
              <w:rPr>
                <w:szCs w:val="21"/>
              </w:rPr>
            </w:pPr>
            <w:r>
              <w:rPr>
                <w:szCs w:val="21"/>
              </w:rPr>
              <w:t>总β</w:t>
            </w:r>
          </w:p>
        </w:tc>
        <w:tc>
          <w:tcPr>
            <w:tcW w:w="1767" w:type="pct"/>
            <w:tcBorders>
              <w:top w:val="single" w:color="auto" w:sz="4" w:space="0"/>
              <w:left w:val="single" w:color="auto" w:sz="4" w:space="0"/>
              <w:bottom w:val="single" w:color="auto" w:sz="4" w:space="0"/>
              <w:right w:val="single" w:color="auto" w:sz="4" w:space="0"/>
            </w:tcBorders>
            <w:vAlign w:val="center"/>
          </w:tcPr>
          <w:p w14:paraId="6A61DDD1">
            <w:pPr>
              <w:jc w:val="center"/>
              <w:rPr>
                <w:szCs w:val="21"/>
              </w:rPr>
            </w:pPr>
            <w:r>
              <w:rPr>
                <w:szCs w:val="21"/>
              </w:rPr>
              <w:t>2627 Bq/kg</w:t>
            </w:r>
          </w:p>
        </w:tc>
      </w:tr>
    </w:tbl>
    <w:p w14:paraId="34E77A3C">
      <w:pPr>
        <w:pStyle w:val="8"/>
        <w:rPr>
          <w:lang w:eastAsia="zh-CN"/>
        </w:rPr>
      </w:pPr>
      <w:r>
        <w:rPr>
          <w:lang w:eastAsia="zh-CN"/>
        </w:rPr>
        <w:t>拟建场址土壤中核素</w:t>
      </w:r>
      <w:r>
        <w:rPr>
          <w:vertAlign w:val="superscript"/>
          <w:lang w:eastAsia="zh-CN"/>
        </w:rPr>
        <w:t>7</w:t>
      </w:r>
      <w:r>
        <w:rPr>
          <w:lang w:eastAsia="zh-CN"/>
        </w:rPr>
        <w:t>Be活度浓度小于探测限；</w:t>
      </w:r>
      <w:r>
        <w:rPr>
          <w:vertAlign w:val="superscript"/>
          <w:lang w:eastAsia="zh-CN"/>
        </w:rPr>
        <w:t>22</w:t>
      </w:r>
      <w:r>
        <w:rPr>
          <w:lang w:eastAsia="zh-CN"/>
        </w:rPr>
        <w:t>Na活度浓度为16.0Bq/kg，</w:t>
      </w:r>
      <w:r>
        <w:rPr>
          <w:szCs w:val="21"/>
        </w:rPr>
        <w:t>总α</w:t>
      </w:r>
      <w:r>
        <w:rPr>
          <w:szCs w:val="21"/>
          <w:lang w:eastAsia="zh-CN"/>
        </w:rPr>
        <w:t>监测结果为2948Bq/kg，</w:t>
      </w:r>
      <w:r>
        <w:rPr>
          <w:lang w:eastAsia="zh-CN"/>
        </w:rPr>
        <w:t>总β监测结果为2627 Bq/kg。</w:t>
      </w:r>
    </w:p>
    <w:p w14:paraId="2F49243E">
      <w:pPr>
        <w:pStyle w:val="6"/>
      </w:pPr>
      <w:r>
        <w:rPr>
          <w:lang w:eastAsia="zh-CN"/>
        </w:rPr>
        <w:t>地表水</w:t>
      </w:r>
    </w:p>
    <w:p w14:paraId="24002D33">
      <w:pPr>
        <w:pStyle w:val="8"/>
      </w:pPr>
      <w:r>
        <w:rPr>
          <w:lang w:eastAsia="zh-CN"/>
        </w:rPr>
        <w:t>拟建场址地表水监测结果见</w:t>
      </w:r>
      <w:r>
        <w:rPr>
          <w:lang w:eastAsia="zh-CN"/>
        </w:rPr>
        <w:fldChar w:fldCharType="begin"/>
      </w:r>
      <w:r>
        <w:rPr>
          <w:lang w:eastAsia="zh-CN"/>
        </w:rPr>
        <w:instrText xml:space="preserve"> REF _Ref197891337 \h  \* MERGEFORMAT </w:instrText>
      </w:r>
      <w:r>
        <w:rPr>
          <w:lang w:eastAsia="zh-CN"/>
        </w:rPr>
        <w:fldChar w:fldCharType="separate"/>
      </w:r>
      <w:r>
        <w:t>表 2</w:t>
      </w:r>
      <w:r>
        <w:noBreakHyphen/>
      </w:r>
      <w:r>
        <w:t>6</w:t>
      </w:r>
      <w:r>
        <w:rPr>
          <w:lang w:eastAsia="zh-CN"/>
        </w:rPr>
        <w:fldChar w:fldCharType="end"/>
      </w:r>
      <w:r>
        <w:rPr>
          <w:lang w:eastAsia="zh-CN"/>
        </w:rPr>
        <w:t>。</w:t>
      </w:r>
    </w:p>
    <w:p w14:paraId="35D2CCBA">
      <w:pPr>
        <w:pStyle w:val="15"/>
      </w:pPr>
      <w:bookmarkStart w:id="399" w:name="_Ref197891337"/>
      <w:bookmarkStart w:id="400" w:name="_Toc160723139"/>
      <w:r>
        <w:t xml:space="preserve">表 </w:t>
      </w:r>
      <w:r>
        <w:fldChar w:fldCharType="begin"/>
      </w:r>
      <w:r>
        <w:instrText xml:space="preserve"> STYLEREF 1 \s </w:instrText>
      </w:r>
      <w:r>
        <w:fldChar w:fldCharType="separate"/>
      </w:r>
      <w:r>
        <w:t>2</w:t>
      </w:r>
      <w:r>
        <w:fldChar w:fldCharType="end"/>
      </w:r>
      <w:r>
        <w:noBreakHyphen/>
      </w:r>
      <w:r>
        <w:fldChar w:fldCharType="begin"/>
      </w:r>
      <w:r>
        <w:instrText xml:space="preserve"> SEQ 表 \* ARABIC \s 1 </w:instrText>
      </w:r>
      <w:r>
        <w:fldChar w:fldCharType="separate"/>
      </w:r>
      <w:r>
        <w:t>6</w:t>
      </w:r>
      <w:r>
        <w:fldChar w:fldCharType="end"/>
      </w:r>
      <w:bookmarkEnd w:id="399"/>
      <w:r>
        <w:t xml:space="preserve"> 地表水监测结果</w:t>
      </w:r>
      <w:bookmarkEnd w:id="400"/>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3"/>
        <w:gridCol w:w="1316"/>
        <w:gridCol w:w="2853"/>
      </w:tblGrid>
      <w:tr w14:paraId="23A85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1" w:hRule="atLeast"/>
          <w:jc w:val="center"/>
        </w:trPr>
        <w:tc>
          <w:tcPr>
            <w:tcW w:w="2554" w:type="pct"/>
            <w:tcBorders>
              <w:top w:val="single" w:color="auto" w:sz="4" w:space="0"/>
              <w:left w:val="single" w:color="auto" w:sz="4" w:space="0"/>
              <w:bottom w:val="single" w:color="auto" w:sz="4" w:space="0"/>
              <w:right w:val="single" w:color="auto" w:sz="4" w:space="0"/>
            </w:tcBorders>
            <w:vAlign w:val="center"/>
          </w:tcPr>
          <w:p w14:paraId="7304D52F">
            <w:pPr>
              <w:jc w:val="center"/>
              <w:rPr>
                <w:b/>
                <w:bCs/>
                <w:szCs w:val="21"/>
              </w:rPr>
            </w:pPr>
            <w:r>
              <w:rPr>
                <w:b/>
                <w:bCs/>
                <w:szCs w:val="21"/>
              </w:rPr>
              <w:t>样品编号</w:t>
            </w:r>
          </w:p>
        </w:tc>
        <w:tc>
          <w:tcPr>
            <w:tcW w:w="772" w:type="pct"/>
            <w:tcBorders>
              <w:top w:val="single" w:color="auto" w:sz="4" w:space="0"/>
              <w:left w:val="single" w:color="auto" w:sz="4" w:space="0"/>
              <w:bottom w:val="single" w:color="auto" w:sz="4" w:space="0"/>
              <w:right w:val="single" w:color="auto" w:sz="4" w:space="0"/>
            </w:tcBorders>
            <w:vAlign w:val="center"/>
          </w:tcPr>
          <w:p w14:paraId="1B734F35">
            <w:pPr>
              <w:jc w:val="center"/>
              <w:rPr>
                <w:b/>
                <w:bCs/>
                <w:szCs w:val="21"/>
              </w:rPr>
            </w:pPr>
            <w:r>
              <w:rPr>
                <w:b/>
                <w:bCs/>
                <w:szCs w:val="21"/>
              </w:rPr>
              <w:t>检测项目</w:t>
            </w:r>
          </w:p>
        </w:tc>
        <w:tc>
          <w:tcPr>
            <w:tcW w:w="1674" w:type="pct"/>
            <w:tcBorders>
              <w:top w:val="single" w:color="auto" w:sz="4" w:space="0"/>
              <w:left w:val="single" w:color="auto" w:sz="4" w:space="0"/>
              <w:bottom w:val="single" w:color="auto" w:sz="4" w:space="0"/>
              <w:right w:val="single" w:color="auto" w:sz="4" w:space="0"/>
            </w:tcBorders>
            <w:vAlign w:val="center"/>
          </w:tcPr>
          <w:p w14:paraId="31B263B8">
            <w:pPr>
              <w:jc w:val="center"/>
              <w:rPr>
                <w:b/>
                <w:bCs/>
                <w:szCs w:val="21"/>
              </w:rPr>
            </w:pPr>
            <w:r>
              <w:rPr>
                <w:b/>
                <w:bCs/>
                <w:szCs w:val="21"/>
              </w:rPr>
              <w:t>结果</w:t>
            </w:r>
          </w:p>
        </w:tc>
      </w:tr>
      <w:tr w14:paraId="33E85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4" w:hRule="atLeast"/>
          <w:jc w:val="center"/>
        </w:trPr>
        <w:tc>
          <w:tcPr>
            <w:tcW w:w="2554" w:type="pct"/>
            <w:vMerge w:val="restart"/>
            <w:tcBorders>
              <w:top w:val="single" w:color="auto" w:sz="4" w:space="0"/>
              <w:left w:val="single" w:color="auto" w:sz="4" w:space="0"/>
              <w:bottom w:val="single" w:color="auto" w:sz="4" w:space="0"/>
              <w:right w:val="single" w:color="auto" w:sz="4" w:space="0"/>
            </w:tcBorders>
            <w:vAlign w:val="center"/>
          </w:tcPr>
          <w:p w14:paraId="0D27AC35">
            <w:pPr>
              <w:jc w:val="center"/>
              <w:rPr>
                <w:szCs w:val="21"/>
              </w:rPr>
            </w:pPr>
            <w:r>
              <w:rPr>
                <w:szCs w:val="21"/>
              </w:rPr>
              <w:t>小池塘</w:t>
            </w:r>
          </w:p>
        </w:tc>
        <w:tc>
          <w:tcPr>
            <w:tcW w:w="772" w:type="pct"/>
            <w:tcBorders>
              <w:top w:val="single" w:color="auto" w:sz="4" w:space="0"/>
              <w:left w:val="single" w:color="auto" w:sz="4" w:space="0"/>
              <w:bottom w:val="single" w:color="auto" w:sz="4" w:space="0"/>
              <w:right w:val="single" w:color="auto" w:sz="4" w:space="0"/>
            </w:tcBorders>
            <w:vAlign w:val="center"/>
          </w:tcPr>
          <w:p w14:paraId="46062AB2">
            <w:pPr>
              <w:jc w:val="center"/>
              <w:rPr>
                <w:szCs w:val="21"/>
              </w:rPr>
            </w:pPr>
            <w:r>
              <w:rPr>
                <w:szCs w:val="21"/>
                <w:vertAlign w:val="superscript"/>
              </w:rPr>
              <w:t>3</w:t>
            </w:r>
            <w:r>
              <w:rPr>
                <w:szCs w:val="21"/>
              </w:rPr>
              <w:t>H</w:t>
            </w:r>
          </w:p>
        </w:tc>
        <w:tc>
          <w:tcPr>
            <w:tcW w:w="1674" w:type="pct"/>
            <w:tcBorders>
              <w:top w:val="single" w:color="auto" w:sz="4" w:space="0"/>
              <w:left w:val="single" w:color="auto" w:sz="4" w:space="0"/>
              <w:bottom w:val="single" w:color="auto" w:sz="4" w:space="0"/>
              <w:right w:val="single" w:color="auto" w:sz="4" w:space="0"/>
            </w:tcBorders>
            <w:vAlign w:val="center"/>
          </w:tcPr>
          <w:p w14:paraId="75A0C667">
            <w:pPr>
              <w:jc w:val="center"/>
              <w:rPr>
                <w:szCs w:val="21"/>
              </w:rPr>
            </w:pPr>
            <w:r>
              <w:rPr>
                <w:szCs w:val="21"/>
              </w:rPr>
              <w:t>0.57Bq/L</w:t>
            </w:r>
          </w:p>
        </w:tc>
      </w:tr>
      <w:tr w14:paraId="2C111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4" w:hRule="atLeast"/>
          <w:jc w:val="center"/>
        </w:trPr>
        <w:tc>
          <w:tcPr>
            <w:tcW w:w="2554" w:type="pct"/>
            <w:vMerge w:val="continue"/>
            <w:tcBorders>
              <w:top w:val="single" w:color="auto" w:sz="4" w:space="0"/>
              <w:left w:val="single" w:color="auto" w:sz="4" w:space="0"/>
              <w:bottom w:val="single" w:color="auto" w:sz="4" w:space="0"/>
              <w:right w:val="single" w:color="auto" w:sz="4" w:space="0"/>
            </w:tcBorders>
            <w:vAlign w:val="center"/>
          </w:tcPr>
          <w:p w14:paraId="5BEF1C74">
            <w:pPr>
              <w:jc w:val="center"/>
              <w:rPr>
                <w:szCs w:val="21"/>
              </w:rPr>
            </w:pPr>
          </w:p>
        </w:tc>
        <w:tc>
          <w:tcPr>
            <w:tcW w:w="772" w:type="pct"/>
            <w:tcBorders>
              <w:top w:val="single" w:color="auto" w:sz="4" w:space="0"/>
              <w:left w:val="single" w:color="auto" w:sz="4" w:space="0"/>
              <w:bottom w:val="single" w:color="auto" w:sz="4" w:space="0"/>
              <w:right w:val="single" w:color="auto" w:sz="4" w:space="0"/>
            </w:tcBorders>
            <w:vAlign w:val="center"/>
          </w:tcPr>
          <w:p w14:paraId="7F23692D">
            <w:pPr>
              <w:jc w:val="center"/>
              <w:rPr>
                <w:szCs w:val="21"/>
              </w:rPr>
            </w:pPr>
            <w:r>
              <w:rPr>
                <w:szCs w:val="21"/>
                <w:vertAlign w:val="superscript"/>
              </w:rPr>
              <w:t>7</w:t>
            </w:r>
            <w:r>
              <w:rPr>
                <w:szCs w:val="21"/>
              </w:rPr>
              <w:t>Be</w:t>
            </w:r>
          </w:p>
        </w:tc>
        <w:tc>
          <w:tcPr>
            <w:tcW w:w="1674" w:type="pct"/>
            <w:tcBorders>
              <w:top w:val="single" w:color="auto" w:sz="4" w:space="0"/>
              <w:left w:val="single" w:color="auto" w:sz="4" w:space="0"/>
              <w:bottom w:val="single" w:color="auto" w:sz="4" w:space="0"/>
              <w:right w:val="single" w:color="auto" w:sz="4" w:space="0"/>
            </w:tcBorders>
            <w:vAlign w:val="center"/>
          </w:tcPr>
          <w:p w14:paraId="0C86D7CA">
            <w:pPr>
              <w:jc w:val="center"/>
              <w:rPr>
                <w:szCs w:val="21"/>
              </w:rPr>
            </w:pPr>
            <w:r>
              <w:rPr>
                <w:szCs w:val="21"/>
              </w:rPr>
              <w:t>＜MDC</w:t>
            </w:r>
          </w:p>
        </w:tc>
      </w:tr>
      <w:tr w14:paraId="7A915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7"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2A4A25E">
            <w:pPr>
              <w:widowControl/>
              <w:jc w:val="left"/>
              <w:rPr>
                <w:szCs w:val="21"/>
              </w:rPr>
            </w:pPr>
          </w:p>
        </w:tc>
        <w:tc>
          <w:tcPr>
            <w:tcW w:w="772" w:type="pct"/>
            <w:tcBorders>
              <w:top w:val="single" w:color="auto" w:sz="4" w:space="0"/>
              <w:left w:val="single" w:color="auto" w:sz="4" w:space="0"/>
              <w:bottom w:val="single" w:color="auto" w:sz="4" w:space="0"/>
              <w:right w:val="single" w:color="auto" w:sz="4" w:space="0"/>
            </w:tcBorders>
            <w:vAlign w:val="center"/>
          </w:tcPr>
          <w:p w14:paraId="30F5E82F">
            <w:pPr>
              <w:jc w:val="center"/>
              <w:rPr>
                <w:szCs w:val="21"/>
              </w:rPr>
            </w:pPr>
            <w:r>
              <w:rPr>
                <w:szCs w:val="21"/>
              </w:rPr>
              <w:t>总α</w:t>
            </w:r>
          </w:p>
        </w:tc>
        <w:tc>
          <w:tcPr>
            <w:tcW w:w="1674" w:type="pct"/>
            <w:tcBorders>
              <w:top w:val="single" w:color="auto" w:sz="4" w:space="0"/>
              <w:left w:val="single" w:color="auto" w:sz="4" w:space="0"/>
              <w:bottom w:val="single" w:color="auto" w:sz="4" w:space="0"/>
              <w:right w:val="single" w:color="auto" w:sz="4" w:space="0"/>
            </w:tcBorders>
            <w:vAlign w:val="center"/>
          </w:tcPr>
          <w:p w14:paraId="64D92C9D">
            <w:pPr>
              <w:jc w:val="center"/>
              <w:rPr>
                <w:szCs w:val="21"/>
              </w:rPr>
            </w:pPr>
            <w:r>
              <w:rPr>
                <w:szCs w:val="21"/>
              </w:rPr>
              <w:t>＜MDC</w:t>
            </w:r>
          </w:p>
        </w:tc>
      </w:tr>
      <w:tr w14:paraId="751FB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1"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35FDEB0A">
            <w:pPr>
              <w:widowControl/>
              <w:jc w:val="left"/>
              <w:rPr>
                <w:szCs w:val="21"/>
              </w:rPr>
            </w:pPr>
          </w:p>
        </w:tc>
        <w:tc>
          <w:tcPr>
            <w:tcW w:w="772" w:type="pct"/>
            <w:tcBorders>
              <w:top w:val="single" w:color="auto" w:sz="4" w:space="0"/>
              <w:left w:val="single" w:color="auto" w:sz="4" w:space="0"/>
              <w:bottom w:val="single" w:color="auto" w:sz="4" w:space="0"/>
              <w:right w:val="single" w:color="auto" w:sz="4" w:space="0"/>
            </w:tcBorders>
            <w:vAlign w:val="center"/>
          </w:tcPr>
          <w:p w14:paraId="692EAB6F">
            <w:pPr>
              <w:jc w:val="center"/>
              <w:rPr>
                <w:szCs w:val="21"/>
              </w:rPr>
            </w:pPr>
            <w:r>
              <w:rPr>
                <w:szCs w:val="21"/>
              </w:rPr>
              <w:t>总β</w:t>
            </w:r>
          </w:p>
        </w:tc>
        <w:tc>
          <w:tcPr>
            <w:tcW w:w="1674" w:type="pct"/>
            <w:tcBorders>
              <w:top w:val="single" w:color="auto" w:sz="4" w:space="0"/>
              <w:left w:val="single" w:color="auto" w:sz="4" w:space="0"/>
              <w:bottom w:val="single" w:color="auto" w:sz="4" w:space="0"/>
              <w:right w:val="single" w:color="auto" w:sz="4" w:space="0"/>
            </w:tcBorders>
            <w:vAlign w:val="center"/>
          </w:tcPr>
          <w:p w14:paraId="3E73A222">
            <w:pPr>
              <w:jc w:val="center"/>
              <w:rPr>
                <w:szCs w:val="21"/>
              </w:rPr>
            </w:pPr>
            <w:r>
              <w:rPr>
                <w:szCs w:val="21"/>
              </w:rPr>
              <w:t>0.121Bq/L</w:t>
            </w:r>
          </w:p>
        </w:tc>
      </w:tr>
    </w:tbl>
    <w:p w14:paraId="4371796E">
      <w:pPr>
        <w:pStyle w:val="8"/>
        <w:rPr>
          <w:lang w:eastAsia="zh-CN"/>
        </w:rPr>
      </w:pPr>
      <w:r>
        <w:rPr>
          <w:lang w:eastAsia="zh-CN"/>
        </w:rPr>
        <w:t>拟建</w:t>
      </w:r>
      <w:r>
        <w:t>场址</w:t>
      </w:r>
      <w:r>
        <w:rPr>
          <w:lang w:eastAsia="zh-CN"/>
        </w:rPr>
        <w:t>周边</w:t>
      </w:r>
      <w:r>
        <w:t>环境</w:t>
      </w:r>
      <w:r>
        <w:rPr>
          <w:lang w:eastAsia="zh-CN"/>
        </w:rPr>
        <w:t>地表水中未检出</w:t>
      </w:r>
      <w:r>
        <w:rPr>
          <w:szCs w:val="21"/>
          <w:vertAlign w:val="superscript"/>
        </w:rPr>
        <w:t>7</w:t>
      </w:r>
      <w:r>
        <w:rPr>
          <w:szCs w:val="21"/>
          <w:lang w:eastAsia="zh-CN"/>
        </w:rPr>
        <w:t>Be和</w:t>
      </w:r>
      <w:r>
        <w:rPr>
          <w:szCs w:val="21"/>
        </w:rPr>
        <w:t>总α</w:t>
      </w:r>
      <w:r>
        <w:rPr>
          <w:lang w:eastAsia="zh-CN"/>
        </w:rPr>
        <w:t>，地表水中</w:t>
      </w:r>
      <w:r>
        <w:t>总β活度浓度</w:t>
      </w:r>
      <w:r>
        <w:rPr>
          <w:lang w:eastAsia="zh-CN"/>
        </w:rPr>
        <w:t>为0.121</w:t>
      </w:r>
      <w:r>
        <w:t>Bq/L</w:t>
      </w:r>
      <w:r>
        <w:rPr>
          <w:lang w:eastAsia="zh-CN"/>
        </w:rPr>
        <w:t>，</w:t>
      </w:r>
      <w:r>
        <w:rPr>
          <w:rFonts w:hint="eastAsia"/>
          <w:vertAlign w:val="superscript"/>
          <w:lang w:eastAsia="zh-CN"/>
        </w:rPr>
        <w:t>3</w:t>
      </w:r>
      <w:r>
        <w:rPr>
          <w:lang w:eastAsia="zh-CN"/>
        </w:rPr>
        <w:t>H</w:t>
      </w:r>
      <w:r>
        <w:t>活度浓度</w:t>
      </w:r>
      <w:r>
        <w:rPr>
          <w:lang w:eastAsia="zh-CN"/>
        </w:rPr>
        <w:t>为0.57</w:t>
      </w:r>
      <w:r>
        <w:t>Bq/L。</w:t>
      </w:r>
      <w:bookmarkEnd w:id="371"/>
    </w:p>
    <w:p w14:paraId="3AC3EB93">
      <w:pPr>
        <w:pStyle w:val="4"/>
        <w:rPr>
          <w:rFonts w:eastAsia="宋体"/>
        </w:rPr>
      </w:pPr>
      <w:bookmarkStart w:id="401" w:name="_Toc34738583"/>
      <w:bookmarkStart w:id="402" w:name="_Toc209125215"/>
      <w:bookmarkStart w:id="403" w:name="_Toc71554606"/>
      <w:r>
        <w:rPr>
          <w:rFonts w:eastAsia="宋体"/>
          <w:lang w:eastAsia="zh-CN"/>
        </w:rPr>
        <w:t>场址适宜性评价</w:t>
      </w:r>
      <w:bookmarkEnd w:id="401"/>
      <w:bookmarkEnd w:id="402"/>
      <w:bookmarkEnd w:id="403"/>
    </w:p>
    <w:p w14:paraId="44D8F266">
      <w:pPr>
        <w:pStyle w:val="8"/>
      </w:pPr>
      <w:r>
        <w:t>本项目选址位于广东省广州市黄埔区开创大道2693号中山大学附属第三医院岭南医院内，项目所在区域地质和地震条件良好，没有影响射线装置稳定运行和安全使用的颠覆性因素。</w:t>
      </w:r>
    </w:p>
    <w:p w14:paraId="51D815E2">
      <w:pPr>
        <w:pStyle w:val="8"/>
      </w:pPr>
      <w:r>
        <w:t>结合本项目特征辐射污染因子和电离辐射环境影响评价范围，区域周边社会环境相对简单，评价范围内无居民区、学校等敏感目标，条件较好。</w:t>
      </w:r>
    </w:p>
    <w:p w14:paraId="69CC6F58">
      <w:pPr>
        <w:pStyle w:val="8"/>
      </w:pPr>
      <w:r>
        <w:t>环境现状调查结果表明，项目拟建场址及周围环境的辐射环境质量良好，环境电离辐射水平均处于当地天然本底波动范围内。</w:t>
      </w:r>
    </w:p>
    <w:p w14:paraId="5C1A051B">
      <w:pPr>
        <w:pStyle w:val="8"/>
        <w:rPr>
          <w:lang w:eastAsia="zh-CN"/>
        </w:rPr>
        <w:sectPr>
          <w:headerReference r:id="rId18" w:type="default"/>
          <w:footerReference r:id="rId20" w:type="default"/>
          <w:headerReference r:id="rId19" w:type="even"/>
          <w:footerReference r:id="rId21" w:type="even"/>
          <w:pgSz w:w="11906" w:h="16838"/>
          <w:pgMar w:top="1440" w:right="1800" w:bottom="1440" w:left="1800" w:header="851" w:footer="340" w:gutter="0"/>
          <w:cols w:space="720" w:num="1"/>
          <w:docGrid w:type="lines" w:linePitch="312" w:charSpace="0"/>
        </w:sectPr>
      </w:pPr>
      <w:r>
        <w:t>综上所述，本项目选址适宜开展所申请的核技术利用活动</w:t>
      </w:r>
      <w:r>
        <w:rPr>
          <w:lang w:eastAsia="zh-CN"/>
        </w:rPr>
        <w:t>。</w:t>
      </w:r>
    </w:p>
    <w:bookmarkEnd w:id="329"/>
    <w:p w14:paraId="6D42BB4A">
      <w:pPr>
        <w:pStyle w:val="2"/>
        <w:rPr>
          <w:rFonts w:eastAsia="宋体"/>
        </w:rPr>
      </w:pPr>
      <w:bookmarkStart w:id="404" w:name="_Toc209125216"/>
      <w:r>
        <w:rPr>
          <w:rFonts w:eastAsia="宋体"/>
          <w:lang w:eastAsia="zh-CN"/>
        </w:rPr>
        <w:t>建设项目环境影响预测及拟采取的主要措施和效果</w:t>
      </w:r>
      <w:bookmarkEnd w:id="404"/>
    </w:p>
    <w:p w14:paraId="374578ED">
      <w:pPr>
        <w:pStyle w:val="3"/>
        <w:rPr>
          <w:rFonts w:ascii="Times New Roman" w:hAnsi="Times New Roman" w:eastAsia="宋体"/>
        </w:rPr>
      </w:pPr>
      <w:bookmarkStart w:id="405" w:name="_Toc209125217"/>
      <w:bookmarkStart w:id="406" w:name="_Toc199954869"/>
      <w:bookmarkStart w:id="407" w:name="_Toc71554608"/>
      <w:bookmarkStart w:id="408" w:name="_Toc34738589"/>
      <w:bookmarkStart w:id="409" w:name="_Toc71554624"/>
      <w:r>
        <w:rPr>
          <w:rFonts w:ascii="Times New Roman" w:hAnsi="Times New Roman" w:eastAsia="宋体"/>
        </w:rPr>
        <w:t>项目规模与基本参数</w:t>
      </w:r>
      <w:bookmarkEnd w:id="405"/>
      <w:bookmarkEnd w:id="406"/>
      <w:bookmarkEnd w:id="407"/>
    </w:p>
    <w:p w14:paraId="7F3CDB55">
      <w:pPr>
        <w:pStyle w:val="4"/>
        <w:rPr>
          <w:rFonts w:eastAsia="宋体"/>
        </w:rPr>
      </w:pPr>
      <w:bookmarkStart w:id="410" w:name="_Toc199954870"/>
      <w:bookmarkStart w:id="411" w:name="_Toc209125218"/>
      <w:r>
        <w:rPr>
          <w:rFonts w:eastAsia="宋体"/>
          <w:lang w:eastAsia="zh-CN"/>
        </w:rPr>
        <w:t>项目规模</w:t>
      </w:r>
      <w:bookmarkEnd w:id="410"/>
      <w:bookmarkEnd w:id="411"/>
    </w:p>
    <w:p w14:paraId="5CB757C5">
      <w:pPr>
        <w:pStyle w:val="8"/>
        <w:rPr>
          <w:lang w:eastAsia="zh-CN"/>
        </w:rPr>
      </w:pPr>
      <w:r>
        <w:rPr>
          <w:lang w:eastAsia="zh-CN"/>
        </w:rPr>
        <w:t>本项目拟在质子中心楼使用质子治疗系统和配套的滑轨CT、定位CT机开展放射诊疗工作，项目</w:t>
      </w:r>
      <w:r>
        <w:t>总建筑面积为2191.62</w:t>
      </w:r>
      <w:r>
        <w:rPr>
          <w:lang w:eastAsia="zh-CN"/>
        </w:rPr>
        <w:t>平方米，其中地上面积1566.33平方米。质子中心主体为地下一层、地上二层、局部地上三层建筑。建筑总高度为14.15米，首层层高4.5米、二层至三层层高4.0米、地下室负一层层高4.5米。其中：</w:t>
      </w:r>
    </w:p>
    <w:p w14:paraId="00AEFF34">
      <w:pPr>
        <w:pStyle w:val="8"/>
        <w:numPr>
          <w:ilvl w:val="0"/>
          <w:numId w:val="8"/>
        </w:numPr>
        <w:ind w:left="0" w:firstLine="480"/>
        <w:rPr>
          <w:lang w:eastAsia="zh-CN"/>
        </w:rPr>
      </w:pPr>
      <w:r>
        <w:rPr>
          <w:lang w:eastAsia="zh-CN"/>
        </w:rPr>
        <w:t>地下一层：质子治疗设备层及其迷道、进风机房、强电井、弱电井、备件存放室、气瓶间、排风机房、排风风井、固废间、活化水暂存间、配电间、UPS+隔离变压器房、弱电设备间、客梯、楼梯等房间</w:t>
      </w:r>
      <w:r>
        <w:rPr>
          <w:rFonts w:hint="eastAsia"/>
          <w:lang w:eastAsia="zh-CN"/>
        </w:rPr>
        <w:t>。</w:t>
      </w:r>
    </w:p>
    <w:p w14:paraId="5481312D">
      <w:pPr>
        <w:pStyle w:val="8"/>
        <w:numPr>
          <w:ilvl w:val="0"/>
          <w:numId w:val="8"/>
        </w:numPr>
        <w:ind w:left="0" w:firstLine="480"/>
        <w:rPr>
          <w:lang w:eastAsia="zh-CN"/>
        </w:rPr>
      </w:pPr>
      <w:r>
        <w:rPr>
          <w:lang w:eastAsia="zh-CN"/>
        </w:rPr>
        <w:t>地上一层：质子治疗层及其迷道、CT检查室、CT控制室、控制室、制模室/复苏唤醒室、注射室/抢救室、医生诊室、候诊区、VIP候诊单间、排风风井、大堂门厅、冷媒井、客梯、楼梯</w:t>
      </w:r>
      <w:r>
        <w:rPr>
          <w:rFonts w:hint="eastAsia"/>
          <w:lang w:eastAsia="zh-CN"/>
        </w:rPr>
        <w:t>、</w:t>
      </w:r>
      <w:r>
        <w:rPr>
          <w:lang w:eastAsia="zh-CN"/>
        </w:rPr>
        <w:t>强电井、弱电井等房间。</w:t>
      </w:r>
    </w:p>
    <w:p w14:paraId="7B486988">
      <w:pPr>
        <w:pStyle w:val="8"/>
        <w:numPr>
          <w:ilvl w:val="0"/>
          <w:numId w:val="8"/>
        </w:numPr>
        <w:ind w:left="0" w:firstLine="480"/>
        <w:rPr>
          <w:lang w:eastAsia="zh-CN"/>
        </w:rPr>
      </w:pPr>
      <w:r>
        <w:rPr>
          <w:lang w:eastAsia="zh-CN"/>
        </w:rPr>
        <w:t>地上二层：质子设备检修平台及其迷道、安全联锁机房、CT设备间、服务器机房、楼梯、护士办公室、计划室、排风风井、工程师办公室、茶水间、质控设备室、物理师办公室、医生办公室、客梯、冷媒井</w:t>
      </w:r>
      <w:r>
        <w:rPr>
          <w:rFonts w:hint="eastAsia"/>
          <w:lang w:eastAsia="zh-CN"/>
        </w:rPr>
        <w:t>、</w:t>
      </w:r>
      <w:r>
        <w:rPr>
          <w:lang w:eastAsia="zh-CN"/>
        </w:rPr>
        <w:t>强电井、弱电井等房间。</w:t>
      </w:r>
    </w:p>
    <w:p w14:paraId="5F9AEB46">
      <w:pPr>
        <w:pStyle w:val="8"/>
        <w:numPr>
          <w:ilvl w:val="0"/>
          <w:numId w:val="8"/>
        </w:numPr>
        <w:ind w:left="0" w:firstLine="480"/>
        <w:rPr>
          <w:lang w:eastAsia="zh-CN"/>
        </w:rPr>
      </w:pPr>
      <w:r>
        <w:rPr>
          <w:rFonts w:hint="eastAsia"/>
          <w:lang w:eastAsia="zh-CN"/>
        </w:rPr>
        <w:t>地上三层：女更衣、女厕、女淋浴、男更衣、男厕、男淋浴、强电井、弱电井、女值班室、男值班室、远程会议室、技师办公室、排风风井、茶水间、MDI会诊室、教授办公室、物理组长办公室、技师长办公室、客梯、楼梯、冷媒井等房间。</w:t>
      </w:r>
    </w:p>
    <w:p w14:paraId="24057813">
      <w:pPr>
        <w:pStyle w:val="8"/>
        <w:rPr>
          <w:lang w:eastAsia="zh-CN"/>
        </w:rPr>
        <w:sectPr>
          <w:pgSz w:w="11906" w:h="16838"/>
          <w:pgMar w:top="1440" w:right="1800" w:bottom="1440" w:left="1800" w:header="851" w:footer="992" w:gutter="0"/>
          <w:cols w:space="720" w:num="1"/>
          <w:docGrid w:type="lines" w:linePitch="312" w:charSpace="0"/>
        </w:sectPr>
      </w:pPr>
      <w:r>
        <w:rPr>
          <w:lang w:eastAsia="zh-CN"/>
        </w:rPr>
        <w:t>本项目各层平面布局图见</w:t>
      </w:r>
      <w:r>
        <w:rPr>
          <w:lang w:eastAsia="zh-CN"/>
        </w:rPr>
        <w:fldChar w:fldCharType="begin"/>
      </w:r>
      <w:r>
        <w:rPr>
          <w:lang w:eastAsia="zh-CN"/>
        </w:rPr>
        <w:instrText xml:space="preserve"> REF _Ref197891529 \h  \* MERGEFORMAT </w:instrText>
      </w:r>
      <w:r>
        <w:rPr>
          <w:lang w:eastAsia="zh-CN"/>
        </w:rPr>
        <w:fldChar w:fldCharType="separate"/>
      </w:r>
      <w:r>
        <w:t>图 3</w:t>
      </w:r>
      <w:r>
        <w:noBreakHyphen/>
      </w:r>
      <w:r>
        <w:t>1</w:t>
      </w:r>
      <w:r>
        <w:rPr>
          <w:lang w:eastAsia="zh-CN"/>
        </w:rPr>
        <w:fldChar w:fldCharType="end"/>
      </w:r>
      <w:r>
        <w:rPr>
          <w:lang w:eastAsia="zh-CN"/>
        </w:rPr>
        <w:t>~</w:t>
      </w:r>
      <w:r>
        <w:rPr>
          <w:lang w:eastAsia="zh-CN"/>
        </w:rPr>
        <w:fldChar w:fldCharType="begin"/>
      </w:r>
      <w:r>
        <w:rPr>
          <w:lang w:eastAsia="zh-CN"/>
        </w:rPr>
        <w:instrText xml:space="preserve"> REF _Ref197891533 \h  \* MERGEFORMAT </w:instrText>
      </w:r>
      <w:r>
        <w:rPr>
          <w:lang w:eastAsia="zh-CN"/>
        </w:rPr>
        <w:fldChar w:fldCharType="separate"/>
      </w:r>
      <w:r>
        <w:t>图 3</w:t>
      </w:r>
      <w:r>
        <w:noBreakHyphen/>
      </w:r>
      <w:r>
        <w:t>4</w:t>
      </w:r>
      <w:r>
        <w:rPr>
          <w:lang w:eastAsia="zh-CN"/>
        </w:rPr>
        <w:fldChar w:fldCharType="end"/>
      </w:r>
      <w:r>
        <w:rPr>
          <w:lang w:eastAsia="zh-CN"/>
        </w:rPr>
        <w:t>，剖面图见</w:t>
      </w:r>
      <w:r>
        <w:rPr>
          <w:lang w:eastAsia="zh-CN"/>
        </w:rPr>
        <w:fldChar w:fldCharType="begin"/>
      </w:r>
      <w:r>
        <w:rPr>
          <w:lang w:eastAsia="zh-CN"/>
        </w:rPr>
        <w:instrText xml:space="preserve"> REF _Ref208833004 \h  \* MERGEFORMAT </w:instrText>
      </w:r>
      <w:r>
        <w:rPr>
          <w:lang w:eastAsia="zh-CN"/>
        </w:rPr>
        <w:fldChar w:fldCharType="separate"/>
      </w:r>
      <w:r>
        <w:t>图 3</w:t>
      </w:r>
      <w:r>
        <w:noBreakHyphen/>
      </w:r>
      <w:r>
        <w:t>5</w:t>
      </w:r>
      <w:r>
        <w:rPr>
          <w:lang w:eastAsia="zh-CN"/>
        </w:rPr>
        <w:fldChar w:fldCharType="end"/>
      </w:r>
      <w:r>
        <w:rPr>
          <w:lang w:eastAsia="zh-CN"/>
        </w:rPr>
        <w:t>。</w:t>
      </w:r>
    </w:p>
    <w:p w14:paraId="00DC3983">
      <w:pPr>
        <w:pStyle w:val="8"/>
        <w:ind w:firstLine="0" w:firstLineChars="0"/>
        <w:jc w:val="center"/>
        <w:rPr>
          <w:lang w:eastAsia="zh-CN"/>
        </w:rPr>
      </w:pPr>
      <w:r>
        <w:rPr>
          <w:lang w:eastAsia="zh-CN"/>
        </w:rPr>
        <w:drawing>
          <wp:anchor distT="0" distB="0" distL="114300" distR="114300" simplePos="0" relativeHeight="251663360" behindDoc="0" locked="0" layoutInCell="1" allowOverlap="1">
            <wp:simplePos x="0" y="0"/>
            <wp:positionH relativeFrom="column">
              <wp:posOffset>12548870</wp:posOffset>
            </wp:positionH>
            <wp:positionV relativeFrom="paragraph">
              <wp:posOffset>7515860</wp:posOffset>
            </wp:positionV>
            <wp:extent cx="687705" cy="514985"/>
            <wp:effectExtent l="0" t="0" r="0" b="0"/>
            <wp:wrapNone/>
            <wp:docPr id="1533253817" name="图片 8"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253817" name="图片 8" descr="形状, 箭头&#10;&#10;AI 生成的内容可能不正确。"/>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87600" cy="514800"/>
                    </a:xfrm>
                    <a:prstGeom prst="rect">
                      <a:avLst/>
                    </a:prstGeom>
                  </pic:spPr>
                </pic:pic>
              </a:graphicData>
            </a:graphic>
          </wp:anchor>
        </w:drawing>
      </w:r>
      <w:r>
        <w:rPr>
          <w:lang w:eastAsia="zh-CN"/>
        </w:rPr>
        <w:drawing>
          <wp:inline distT="0" distB="0" distL="0" distR="0">
            <wp:extent cx="13661390" cy="8394700"/>
            <wp:effectExtent l="0" t="0" r="0" b="6350"/>
            <wp:docPr id="2064315912" name="图片 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15912" name="图片 5" descr="图示&#10;&#10;AI 生成的内容可能不正确。"/>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13687085" cy="8410792"/>
                    </a:xfrm>
                    <a:prstGeom prst="rect">
                      <a:avLst/>
                    </a:prstGeom>
                  </pic:spPr>
                </pic:pic>
              </a:graphicData>
            </a:graphic>
          </wp:inline>
        </w:drawing>
      </w:r>
    </w:p>
    <w:p w14:paraId="1B970A71">
      <w:pPr>
        <w:pStyle w:val="15"/>
      </w:pPr>
      <w:bookmarkStart w:id="412" w:name="_Ref197891529"/>
      <w:bookmarkStart w:id="413" w:name="_Toc151477733"/>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w:t>
      </w:r>
      <w:r>
        <w:fldChar w:fldCharType="end"/>
      </w:r>
      <w:bookmarkEnd w:id="412"/>
      <w:r>
        <w:t xml:space="preserve"> 质子中心楼地下一层平面布局图</w:t>
      </w:r>
      <w:bookmarkEnd w:id="413"/>
    </w:p>
    <w:p w14:paraId="0C785F35">
      <w:pPr>
        <w:pStyle w:val="15"/>
        <w:ind w:right="0"/>
      </w:pPr>
      <w:bookmarkStart w:id="414" w:name="_Toc151477734"/>
      <w:r>
        <w:drawing>
          <wp:anchor distT="0" distB="0" distL="114300" distR="114300" simplePos="0" relativeHeight="251664384" behindDoc="0" locked="0" layoutInCell="1" allowOverlap="1">
            <wp:simplePos x="0" y="0"/>
            <wp:positionH relativeFrom="column">
              <wp:posOffset>12244705</wp:posOffset>
            </wp:positionH>
            <wp:positionV relativeFrom="paragraph">
              <wp:posOffset>7644130</wp:posOffset>
            </wp:positionV>
            <wp:extent cx="687705" cy="514985"/>
            <wp:effectExtent l="0" t="0" r="0" b="0"/>
            <wp:wrapNone/>
            <wp:docPr id="1864322700" name="图片 8"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22700" name="图片 8" descr="形状, 箭头&#10;&#10;AI 生成的内容可能不正确。"/>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87600" cy="514800"/>
                    </a:xfrm>
                    <a:prstGeom prst="rect">
                      <a:avLst/>
                    </a:prstGeom>
                  </pic:spPr>
                </pic:pic>
              </a:graphicData>
            </a:graphic>
          </wp:anchor>
        </w:drawing>
      </w:r>
      <w:r>
        <w:drawing>
          <wp:inline distT="0" distB="0" distL="0" distR="0">
            <wp:extent cx="13700125" cy="8441055"/>
            <wp:effectExtent l="0" t="0" r="0" b="0"/>
            <wp:docPr id="831187813" name="图片 6"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87813" name="图片 6" descr="图示, 工程绘图&#10;&#10;AI 生成的内容可能不正确。"/>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13725099" cy="8456940"/>
                    </a:xfrm>
                    <a:prstGeom prst="rect">
                      <a:avLst/>
                    </a:prstGeom>
                  </pic:spPr>
                </pic:pic>
              </a:graphicData>
            </a:graphic>
          </wp:inline>
        </w:drawing>
      </w:r>
    </w:p>
    <w:p w14:paraId="00E91E2E">
      <w:pPr>
        <w:pStyle w:val="15"/>
      </w:pPr>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2</w:t>
      </w:r>
      <w:r>
        <w:fldChar w:fldCharType="end"/>
      </w:r>
      <w:r>
        <w:t xml:space="preserve"> 质子中心楼地上一层平面布局图</w:t>
      </w:r>
      <w:bookmarkEnd w:id="414"/>
    </w:p>
    <w:p w14:paraId="0A378319">
      <w:pPr>
        <w:jc w:val="center"/>
      </w:pPr>
      <w:r>
        <w:drawing>
          <wp:anchor distT="0" distB="0" distL="114300" distR="114300" simplePos="0" relativeHeight="251665408" behindDoc="0" locked="0" layoutInCell="1" allowOverlap="1">
            <wp:simplePos x="0" y="0"/>
            <wp:positionH relativeFrom="column">
              <wp:posOffset>12456795</wp:posOffset>
            </wp:positionH>
            <wp:positionV relativeFrom="paragraph">
              <wp:posOffset>7928610</wp:posOffset>
            </wp:positionV>
            <wp:extent cx="687705" cy="514985"/>
            <wp:effectExtent l="0" t="0" r="0" b="0"/>
            <wp:wrapNone/>
            <wp:docPr id="379033906" name="图片 8"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33906" name="图片 8" descr="形状, 箭头&#10;&#10;AI 生成的内容可能不正确。"/>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87600" cy="514800"/>
                    </a:xfrm>
                    <a:prstGeom prst="rect">
                      <a:avLst/>
                    </a:prstGeom>
                  </pic:spPr>
                </pic:pic>
              </a:graphicData>
            </a:graphic>
          </wp:anchor>
        </w:drawing>
      </w:r>
      <w:r>
        <w:drawing>
          <wp:inline distT="0" distB="0" distL="0" distR="0">
            <wp:extent cx="13959840" cy="8573770"/>
            <wp:effectExtent l="0" t="0" r="3810" b="0"/>
            <wp:docPr id="1408569899" name="图片 9"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69899" name="图片 9" descr="图示, 工程绘图&#10;&#10;AI 生成的内容可能不正确。"/>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3988377" cy="8591627"/>
                    </a:xfrm>
                    <a:prstGeom prst="rect">
                      <a:avLst/>
                    </a:prstGeom>
                  </pic:spPr>
                </pic:pic>
              </a:graphicData>
            </a:graphic>
          </wp:inline>
        </w:drawing>
      </w:r>
    </w:p>
    <w:p w14:paraId="39586E7E">
      <w:pPr>
        <w:pStyle w:val="15"/>
      </w:pPr>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3</w:t>
      </w:r>
      <w:r>
        <w:fldChar w:fldCharType="end"/>
      </w:r>
      <w:r>
        <w:t xml:space="preserve"> 质子中心楼地上</w:t>
      </w:r>
      <w:r>
        <w:rPr>
          <w:rFonts w:hint="eastAsia"/>
        </w:rPr>
        <w:t>二</w:t>
      </w:r>
      <w:r>
        <w:t>层平面布局图</w:t>
      </w:r>
    </w:p>
    <w:p w14:paraId="585FAB7C">
      <w:pPr>
        <w:jc w:val="center"/>
      </w:pPr>
      <w:r>
        <w:drawing>
          <wp:anchor distT="0" distB="0" distL="114300" distR="114300" simplePos="0" relativeHeight="251666432" behindDoc="0" locked="0" layoutInCell="1" allowOverlap="1">
            <wp:simplePos x="0" y="0"/>
            <wp:positionH relativeFrom="column">
              <wp:posOffset>12373610</wp:posOffset>
            </wp:positionH>
            <wp:positionV relativeFrom="paragraph">
              <wp:posOffset>7429500</wp:posOffset>
            </wp:positionV>
            <wp:extent cx="687705" cy="514985"/>
            <wp:effectExtent l="0" t="0" r="0" b="0"/>
            <wp:wrapNone/>
            <wp:docPr id="110131700" name="图片 8"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1700" name="图片 8" descr="形状, 箭头&#10;&#10;AI 生成的内容可能不正确。"/>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687600" cy="514800"/>
                    </a:xfrm>
                    <a:prstGeom prst="rect">
                      <a:avLst/>
                    </a:prstGeom>
                  </pic:spPr>
                </pic:pic>
              </a:graphicData>
            </a:graphic>
          </wp:anchor>
        </w:drawing>
      </w:r>
      <w:r>
        <w:rPr>
          <w:rFonts w:hint="eastAsia"/>
        </w:rPr>
        <w:drawing>
          <wp:inline distT="0" distB="0" distL="0" distR="0">
            <wp:extent cx="13451205" cy="8303895"/>
            <wp:effectExtent l="0" t="0" r="0" b="1905"/>
            <wp:docPr id="19641459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45990" name="图片 10"/>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3482429" cy="8323367"/>
                    </a:xfrm>
                    <a:prstGeom prst="rect">
                      <a:avLst/>
                    </a:prstGeom>
                  </pic:spPr>
                </pic:pic>
              </a:graphicData>
            </a:graphic>
          </wp:inline>
        </w:drawing>
      </w:r>
    </w:p>
    <w:p w14:paraId="0EAD10A5">
      <w:pPr>
        <w:pStyle w:val="15"/>
      </w:pPr>
      <w:bookmarkStart w:id="415" w:name="_Ref197891533"/>
      <w:bookmarkStart w:id="416" w:name="_Toc15147773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4</w:t>
      </w:r>
      <w:r>
        <w:fldChar w:fldCharType="end"/>
      </w:r>
      <w:bookmarkEnd w:id="415"/>
      <w:r>
        <w:t xml:space="preserve"> 质子中心楼地上</w:t>
      </w:r>
      <w:r>
        <w:rPr>
          <w:rFonts w:hint="eastAsia"/>
        </w:rPr>
        <w:t>三</w:t>
      </w:r>
      <w:r>
        <w:t>层平面布局图</w:t>
      </w:r>
      <w:bookmarkEnd w:id="416"/>
    </w:p>
    <w:p w14:paraId="206433E7">
      <w:pPr>
        <w:jc w:val="center"/>
      </w:pPr>
      <w:r>
        <w:drawing>
          <wp:inline distT="0" distB="0" distL="0" distR="0">
            <wp:extent cx="14403070" cy="8060055"/>
            <wp:effectExtent l="0" t="0" r="0" b="0"/>
            <wp:docPr id="1489957768" name="图片 9"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57768" name="图片 9" descr="图示&#10;&#10;AI 生成的内容可能不正确。"/>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14416970" cy="8068047"/>
                    </a:xfrm>
                    <a:prstGeom prst="rect">
                      <a:avLst/>
                    </a:prstGeom>
                  </pic:spPr>
                </pic:pic>
              </a:graphicData>
            </a:graphic>
          </wp:inline>
        </w:drawing>
      </w:r>
    </w:p>
    <w:p w14:paraId="3F27F3F8">
      <w:pPr>
        <w:pStyle w:val="15"/>
      </w:pPr>
      <w:bookmarkStart w:id="417" w:name="_Ref208833004"/>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5</w:t>
      </w:r>
      <w:r>
        <w:fldChar w:fldCharType="end"/>
      </w:r>
      <w:bookmarkEnd w:id="417"/>
      <w:r>
        <w:t xml:space="preserve"> 质子中心楼剖面布局图</w:t>
      </w:r>
    </w:p>
    <w:p w14:paraId="7AC73CC5">
      <w:pPr>
        <w:jc w:val="center"/>
      </w:pPr>
    </w:p>
    <w:p w14:paraId="48733CF0">
      <w:pPr>
        <w:pStyle w:val="15"/>
        <w:jc w:val="both"/>
        <w:sectPr>
          <w:pgSz w:w="23811" w:h="16838" w:orient="landscape"/>
          <w:pgMar w:top="720" w:right="720" w:bottom="720" w:left="720" w:header="851" w:footer="992" w:gutter="0"/>
          <w:cols w:space="720" w:num="1"/>
          <w:docGrid w:type="lines" w:linePitch="312" w:charSpace="0"/>
        </w:sectPr>
      </w:pPr>
    </w:p>
    <w:p w14:paraId="07F5A845">
      <w:pPr>
        <w:pStyle w:val="4"/>
        <w:rPr>
          <w:rFonts w:eastAsia="宋体"/>
        </w:rPr>
      </w:pPr>
      <w:bookmarkStart w:id="418" w:name="_Toc23257618"/>
      <w:bookmarkEnd w:id="418"/>
      <w:bookmarkStart w:id="419" w:name="_Toc23846516"/>
      <w:bookmarkEnd w:id="419"/>
      <w:bookmarkStart w:id="420" w:name="_Toc21597476"/>
      <w:bookmarkEnd w:id="420"/>
      <w:bookmarkStart w:id="421" w:name="_Toc21622225"/>
      <w:bookmarkEnd w:id="421"/>
      <w:bookmarkStart w:id="422" w:name="_Toc21597477"/>
      <w:bookmarkEnd w:id="422"/>
      <w:bookmarkStart w:id="423" w:name="_Toc23952666"/>
      <w:bookmarkEnd w:id="423"/>
      <w:bookmarkStart w:id="424" w:name="_Toc24548642"/>
      <w:bookmarkEnd w:id="424"/>
      <w:bookmarkStart w:id="425" w:name="_Toc23952667"/>
      <w:bookmarkEnd w:id="425"/>
      <w:bookmarkStart w:id="426" w:name="_Toc21622226"/>
      <w:bookmarkEnd w:id="426"/>
      <w:bookmarkStart w:id="427" w:name="_Toc23257619"/>
      <w:bookmarkEnd w:id="427"/>
      <w:bookmarkStart w:id="428" w:name="_Toc24548643"/>
      <w:bookmarkEnd w:id="428"/>
      <w:bookmarkStart w:id="429" w:name="_Toc34298344"/>
      <w:bookmarkEnd w:id="429"/>
      <w:bookmarkStart w:id="430" w:name="_Toc23846517"/>
      <w:bookmarkEnd w:id="430"/>
      <w:bookmarkStart w:id="431" w:name="_Toc21597478"/>
      <w:bookmarkEnd w:id="431"/>
      <w:bookmarkStart w:id="432" w:name="_Toc21622227"/>
      <w:bookmarkEnd w:id="432"/>
      <w:bookmarkStart w:id="433" w:name="_Toc23257620"/>
      <w:bookmarkEnd w:id="433"/>
      <w:bookmarkStart w:id="434" w:name="_Toc23846518"/>
      <w:bookmarkEnd w:id="434"/>
      <w:bookmarkStart w:id="435" w:name="_Toc34298343"/>
      <w:bookmarkEnd w:id="435"/>
      <w:bookmarkStart w:id="436" w:name="_Toc23952670"/>
      <w:bookmarkEnd w:id="436"/>
      <w:bookmarkStart w:id="437" w:name="_Toc21597481"/>
      <w:bookmarkEnd w:id="437"/>
      <w:bookmarkStart w:id="438" w:name="_Toc24548644"/>
      <w:bookmarkEnd w:id="438"/>
      <w:bookmarkStart w:id="439" w:name="_Toc21622229"/>
      <w:bookmarkEnd w:id="439"/>
      <w:bookmarkStart w:id="440" w:name="_Toc34298347"/>
      <w:bookmarkEnd w:id="440"/>
      <w:bookmarkStart w:id="441" w:name="_Toc23952671"/>
      <w:bookmarkEnd w:id="441"/>
      <w:bookmarkStart w:id="442" w:name="_Toc34298345"/>
      <w:bookmarkEnd w:id="442"/>
      <w:bookmarkStart w:id="443" w:name="_Toc21597479"/>
      <w:bookmarkEnd w:id="443"/>
      <w:bookmarkStart w:id="444" w:name="_Toc23257621"/>
      <w:bookmarkEnd w:id="444"/>
      <w:bookmarkStart w:id="445" w:name="_Toc23257622"/>
      <w:bookmarkEnd w:id="445"/>
      <w:bookmarkStart w:id="446" w:name="_Toc24548646"/>
      <w:bookmarkEnd w:id="446"/>
      <w:bookmarkStart w:id="447" w:name="_Toc23257623"/>
      <w:bookmarkEnd w:id="447"/>
      <w:bookmarkStart w:id="448" w:name="_Toc24548647"/>
      <w:bookmarkEnd w:id="448"/>
      <w:bookmarkStart w:id="449" w:name="_Toc23952669"/>
      <w:bookmarkEnd w:id="449"/>
      <w:bookmarkStart w:id="450" w:name="_Toc34298346"/>
      <w:bookmarkEnd w:id="450"/>
      <w:bookmarkStart w:id="451" w:name="_Toc21597480"/>
      <w:bookmarkEnd w:id="451"/>
      <w:bookmarkStart w:id="452" w:name="_Toc21622230"/>
      <w:bookmarkEnd w:id="452"/>
      <w:bookmarkStart w:id="453" w:name="_Toc23846521"/>
      <w:bookmarkEnd w:id="453"/>
      <w:bookmarkStart w:id="454" w:name="_Toc34298348"/>
      <w:bookmarkEnd w:id="454"/>
      <w:bookmarkStart w:id="455" w:name="_Toc23952668"/>
      <w:bookmarkEnd w:id="455"/>
      <w:bookmarkStart w:id="456" w:name="_Toc21622228"/>
      <w:bookmarkEnd w:id="456"/>
      <w:bookmarkStart w:id="457" w:name="_Toc23846519"/>
      <w:bookmarkEnd w:id="457"/>
      <w:bookmarkStart w:id="458" w:name="_Toc24548645"/>
      <w:bookmarkEnd w:id="458"/>
      <w:bookmarkStart w:id="459" w:name="_Toc23846520"/>
      <w:bookmarkEnd w:id="459"/>
      <w:bookmarkStart w:id="460" w:name="_Toc23257627"/>
      <w:bookmarkEnd w:id="460"/>
      <w:bookmarkStart w:id="461" w:name="_Toc23846526"/>
      <w:bookmarkEnd w:id="461"/>
      <w:bookmarkStart w:id="462" w:name="_Toc21597485"/>
      <w:bookmarkEnd w:id="462"/>
      <w:bookmarkStart w:id="463" w:name="_Toc21622234"/>
      <w:bookmarkEnd w:id="463"/>
      <w:bookmarkStart w:id="464" w:name="_Toc21622233"/>
      <w:bookmarkEnd w:id="464"/>
      <w:bookmarkStart w:id="465" w:name="_Toc23257626"/>
      <w:bookmarkEnd w:id="465"/>
      <w:bookmarkStart w:id="466" w:name="_Toc21597486"/>
      <w:bookmarkEnd w:id="466"/>
      <w:bookmarkStart w:id="467" w:name="_Toc24548649"/>
      <w:bookmarkEnd w:id="467"/>
      <w:bookmarkStart w:id="468" w:name="_Toc34298349"/>
      <w:bookmarkEnd w:id="468"/>
      <w:bookmarkStart w:id="469" w:name="_Toc23846524"/>
      <w:bookmarkEnd w:id="469"/>
      <w:bookmarkStart w:id="470" w:name="_Toc34298350"/>
      <w:bookmarkEnd w:id="470"/>
      <w:bookmarkStart w:id="471" w:name="_Toc21597482"/>
      <w:bookmarkEnd w:id="471"/>
      <w:bookmarkStart w:id="472" w:name="_Toc21622231"/>
      <w:bookmarkEnd w:id="472"/>
      <w:bookmarkStart w:id="473" w:name="_Toc23846522"/>
      <w:bookmarkEnd w:id="473"/>
      <w:bookmarkStart w:id="474" w:name="_Toc23952674"/>
      <w:bookmarkEnd w:id="474"/>
      <w:bookmarkStart w:id="475" w:name="_Toc34298351"/>
      <w:bookmarkEnd w:id="475"/>
      <w:bookmarkStart w:id="476" w:name="_Toc24548650"/>
      <w:bookmarkEnd w:id="476"/>
      <w:bookmarkStart w:id="477" w:name="_Toc23952672"/>
      <w:bookmarkEnd w:id="477"/>
      <w:bookmarkStart w:id="478" w:name="_Toc23846525"/>
      <w:bookmarkEnd w:id="478"/>
      <w:bookmarkStart w:id="479" w:name="_Toc23952675"/>
      <w:bookmarkEnd w:id="479"/>
      <w:bookmarkStart w:id="480" w:name="_Toc24548651"/>
      <w:bookmarkEnd w:id="480"/>
      <w:bookmarkStart w:id="481" w:name="_Toc23952673"/>
      <w:bookmarkEnd w:id="481"/>
      <w:bookmarkStart w:id="482" w:name="_Toc21622232"/>
      <w:bookmarkEnd w:id="482"/>
      <w:bookmarkStart w:id="483" w:name="_Toc34298352"/>
      <w:bookmarkEnd w:id="483"/>
      <w:bookmarkStart w:id="484" w:name="_Toc23257628"/>
      <w:bookmarkEnd w:id="484"/>
      <w:bookmarkStart w:id="485" w:name="_Toc23846523"/>
      <w:bookmarkEnd w:id="485"/>
      <w:bookmarkStart w:id="486" w:name="_Toc24548648"/>
      <w:bookmarkEnd w:id="486"/>
      <w:bookmarkStart w:id="487" w:name="_Toc23257624"/>
      <w:bookmarkEnd w:id="487"/>
      <w:bookmarkStart w:id="488" w:name="_Toc21597483"/>
      <w:bookmarkEnd w:id="488"/>
      <w:bookmarkStart w:id="489" w:name="_Toc23257625"/>
      <w:bookmarkEnd w:id="489"/>
      <w:bookmarkStart w:id="490" w:name="_Toc21597484"/>
      <w:bookmarkEnd w:id="490"/>
      <w:bookmarkStart w:id="491" w:name="_Toc21622235"/>
      <w:bookmarkEnd w:id="491"/>
      <w:bookmarkStart w:id="492" w:name="_Toc23952678"/>
      <w:bookmarkEnd w:id="492"/>
      <w:bookmarkStart w:id="493" w:name="_Toc23952679"/>
      <w:bookmarkEnd w:id="493"/>
      <w:bookmarkStart w:id="494" w:name="_Toc23257632"/>
      <w:bookmarkEnd w:id="494"/>
      <w:bookmarkStart w:id="495" w:name="_Toc24548652"/>
      <w:bookmarkEnd w:id="495"/>
      <w:bookmarkStart w:id="496" w:name="_Toc24548655"/>
      <w:bookmarkEnd w:id="496"/>
      <w:bookmarkStart w:id="497" w:name="_Toc21622237"/>
      <w:bookmarkEnd w:id="497"/>
      <w:bookmarkStart w:id="498" w:name="_Toc21597487"/>
      <w:bookmarkEnd w:id="498"/>
      <w:bookmarkStart w:id="499" w:name="_Toc21622238"/>
      <w:bookmarkEnd w:id="499"/>
      <w:bookmarkStart w:id="500" w:name="_Toc34298355"/>
      <w:bookmarkEnd w:id="500"/>
      <w:bookmarkStart w:id="501" w:name="_Toc23846529"/>
      <w:bookmarkEnd w:id="501"/>
      <w:bookmarkStart w:id="502" w:name="_Toc24548653"/>
      <w:bookmarkEnd w:id="502"/>
      <w:bookmarkStart w:id="503" w:name="_Toc21622239"/>
      <w:bookmarkEnd w:id="503"/>
      <w:bookmarkStart w:id="504" w:name="_Toc23257629"/>
      <w:bookmarkEnd w:id="504"/>
      <w:bookmarkStart w:id="505" w:name="_Toc34298354"/>
      <w:bookmarkEnd w:id="505"/>
      <w:bookmarkStart w:id="506" w:name="_Toc23846530"/>
      <w:bookmarkEnd w:id="506"/>
      <w:bookmarkStart w:id="507" w:name="_Toc23257631"/>
      <w:bookmarkEnd w:id="507"/>
      <w:bookmarkStart w:id="508" w:name="_Toc34298356"/>
      <w:bookmarkEnd w:id="508"/>
      <w:bookmarkStart w:id="509" w:name="_Toc23952680"/>
      <w:bookmarkEnd w:id="509"/>
      <w:bookmarkStart w:id="510" w:name="_Toc24548656"/>
      <w:bookmarkEnd w:id="510"/>
      <w:bookmarkStart w:id="511" w:name="_Toc23846528"/>
      <w:bookmarkEnd w:id="511"/>
      <w:bookmarkStart w:id="512" w:name="_Toc21597488"/>
      <w:bookmarkEnd w:id="512"/>
      <w:bookmarkStart w:id="513" w:name="_Toc24548654"/>
      <w:bookmarkEnd w:id="513"/>
      <w:bookmarkStart w:id="514" w:name="_Toc21597491"/>
      <w:bookmarkEnd w:id="514"/>
      <w:bookmarkStart w:id="515" w:name="_Toc23952676"/>
      <w:bookmarkEnd w:id="515"/>
      <w:bookmarkStart w:id="516" w:name="_Toc23257630"/>
      <w:bookmarkEnd w:id="516"/>
      <w:bookmarkStart w:id="517" w:name="_Toc21622236"/>
      <w:bookmarkEnd w:id="517"/>
      <w:bookmarkStart w:id="518" w:name="_Toc23846527"/>
      <w:bookmarkEnd w:id="518"/>
      <w:bookmarkStart w:id="519" w:name="_Toc34298357"/>
      <w:bookmarkEnd w:id="519"/>
      <w:bookmarkStart w:id="520" w:name="_Toc21597489"/>
      <w:bookmarkEnd w:id="520"/>
      <w:bookmarkStart w:id="521" w:name="_Toc21597490"/>
      <w:bookmarkEnd w:id="521"/>
      <w:bookmarkStart w:id="522" w:name="_Toc34298353"/>
      <w:bookmarkEnd w:id="522"/>
      <w:bookmarkStart w:id="523" w:name="_Toc23952677"/>
      <w:bookmarkEnd w:id="523"/>
      <w:bookmarkStart w:id="524" w:name="_Toc34298361"/>
      <w:bookmarkEnd w:id="524"/>
      <w:bookmarkStart w:id="525" w:name="_Toc21622242"/>
      <w:bookmarkEnd w:id="525"/>
      <w:bookmarkStart w:id="526" w:name="_Toc23257635"/>
      <w:bookmarkEnd w:id="526"/>
      <w:bookmarkStart w:id="527" w:name="_Toc24548659"/>
      <w:bookmarkEnd w:id="527"/>
      <w:bookmarkStart w:id="528" w:name="_Toc23257637"/>
      <w:bookmarkEnd w:id="528"/>
      <w:bookmarkStart w:id="529" w:name="_Toc21597492"/>
      <w:bookmarkEnd w:id="529"/>
      <w:bookmarkStart w:id="530" w:name="_Toc23952682"/>
      <w:bookmarkEnd w:id="530"/>
      <w:bookmarkStart w:id="531" w:name="_Toc34298360"/>
      <w:bookmarkEnd w:id="531"/>
      <w:bookmarkStart w:id="532" w:name="_Toc23952685"/>
      <w:bookmarkEnd w:id="532"/>
      <w:bookmarkStart w:id="533" w:name="_Toc24548657"/>
      <w:bookmarkEnd w:id="533"/>
      <w:bookmarkStart w:id="534" w:name="_Toc21597494"/>
      <w:bookmarkEnd w:id="534"/>
      <w:bookmarkStart w:id="535" w:name="_Toc21622240"/>
      <w:bookmarkEnd w:id="535"/>
      <w:bookmarkStart w:id="536" w:name="_Toc24548658"/>
      <w:bookmarkEnd w:id="536"/>
      <w:bookmarkStart w:id="537" w:name="_Toc23952681"/>
      <w:bookmarkEnd w:id="537"/>
      <w:bookmarkStart w:id="538" w:name="_Toc23846532"/>
      <w:bookmarkEnd w:id="538"/>
      <w:bookmarkStart w:id="539" w:name="_Toc34298359"/>
      <w:bookmarkEnd w:id="539"/>
      <w:bookmarkStart w:id="540" w:name="_Toc23846533"/>
      <w:bookmarkEnd w:id="540"/>
      <w:bookmarkStart w:id="541" w:name="_Toc23952683"/>
      <w:bookmarkEnd w:id="541"/>
      <w:bookmarkStart w:id="542" w:name="_Toc23846534"/>
      <w:bookmarkEnd w:id="542"/>
      <w:bookmarkStart w:id="543" w:name="_Toc23952684"/>
      <w:bookmarkEnd w:id="543"/>
      <w:bookmarkStart w:id="544" w:name="_Toc21597495"/>
      <w:bookmarkEnd w:id="544"/>
      <w:bookmarkStart w:id="545" w:name="_Toc21622244"/>
      <w:bookmarkEnd w:id="545"/>
      <w:bookmarkStart w:id="546" w:name="_Toc23257633"/>
      <w:bookmarkEnd w:id="546"/>
      <w:bookmarkStart w:id="547" w:name="_Toc21622241"/>
      <w:bookmarkEnd w:id="547"/>
      <w:bookmarkStart w:id="548" w:name="_Toc24548660"/>
      <w:bookmarkEnd w:id="548"/>
      <w:bookmarkStart w:id="549" w:name="_Toc23846531"/>
      <w:bookmarkEnd w:id="549"/>
      <w:bookmarkStart w:id="550" w:name="_Toc34298358"/>
      <w:bookmarkEnd w:id="550"/>
      <w:bookmarkStart w:id="551" w:name="_Toc23846535"/>
      <w:bookmarkEnd w:id="551"/>
      <w:bookmarkStart w:id="552" w:name="_Toc23257634"/>
      <w:bookmarkEnd w:id="552"/>
      <w:bookmarkStart w:id="553" w:name="_Toc21622243"/>
      <w:bookmarkEnd w:id="553"/>
      <w:bookmarkStart w:id="554" w:name="_Toc21597493"/>
      <w:bookmarkEnd w:id="554"/>
      <w:bookmarkStart w:id="555" w:name="_Toc23257636"/>
      <w:bookmarkEnd w:id="555"/>
      <w:bookmarkStart w:id="556" w:name="_Toc24548665"/>
      <w:bookmarkEnd w:id="556"/>
      <w:bookmarkStart w:id="557" w:name="_Toc487528491"/>
      <w:bookmarkEnd w:id="557"/>
      <w:bookmarkStart w:id="558" w:name="_Toc23952689"/>
      <w:bookmarkEnd w:id="558"/>
      <w:bookmarkStart w:id="559" w:name="_Toc21597496"/>
      <w:bookmarkEnd w:id="559"/>
      <w:bookmarkStart w:id="560" w:name="_Toc23846537"/>
      <w:bookmarkEnd w:id="560"/>
      <w:bookmarkStart w:id="561" w:name="_Toc21622247"/>
      <w:bookmarkEnd w:id="561"/>
      <w:bookmarkStart w:id="562" w:name="_Toc21597499"/>
      <w:bookmarkEnd w:id="562"/>
      <w:bookmarkStart w:id="563" w:name="_Toc23846539"/>
      <w:bookmarkEnd w:id="563"/>
      <w:bookmarkStart w:id="564" w:name="_Toc34298366"/>
      <w:bookmarkEnd w:id="564"/>
      <w:bookmarkStart w:id="565" w:name="_Toc21622245"/>
      <w:bookmarkEnd w:id="565"/>
      <w:bookmarkStart w:id="566" w:name="_Toc23257638"/>
      <w:bookmarkEnd w:id="566"/>
      <w:bookmarkStart w:id="567" w:name="_Toc23952686"/>
      <w:bookmarkEnd w:id="567"/>
      <w:bookmarkStart w:id="568" w:name="_Toc23952687"/>
      <w:bookmarkEnd w:id="568"/>
      <w:bookmarkStart w:id="569" w:name="_Toc21597498"/>
      <w:bookmarkEnd w:id="569"/>
      <w:bookmarkStart w:id="570" w:name="_Toc23952688"/>
      <w:bookmarkEnd w:id="570"/>
      <w:bookmarkStart w:id="571" w:name="_Toc24548661"/>
      <w:bookmarkEnd w:id="571"/>
      <w:bookmarkStart w:id="572" w:name="_Toc34298363"/>
      <w:bookmarkEnd w:id="572"/>
      <w:bookmarkStart w:id="573" w:name="_Toc21622246"/>
      <w:bookmarkEnd w:id="573"/>
      <w:bookmarkStart w:id="574" w:name="_Toc23257639"/>
      <w:bookmarkEnd w:id="574"/>
      <w:bookmarkStart w:id="575" w:name="_Toc23846538"/>
      <w:bookmarkEnd w:id="575"/>
      <w:bookmarkStart w:id="576" w:name="_Toc24548664"/>
      <w:bookmarkEnd w:id="576"/>
      <w:bookmarkStart w:id="577" w:name="_Toc21622248"/>
      <w:bookmarkEnd w:id="577"/>
      <w:bookmarkStart w:id="578" w:name="_Toc487619778"/>
      <w:bookmarkEnd w:id="578"/>
      <w:bookmarkStart w:id="579" w:name="_Toc23846536"/>
      <w:bookmarkEnd w:id="579"/>
      <w:bookmarkStart w:id="580" w:name="_Toc34298362"/>
      <w:bookmarkEnd w:id="580"/>
      <w:bookmarkStart w:id="581" w:name="_Toc24548662"/>
      <w:bookmarkEnd w:id="581"/>
      <w:bookmarkStart w:id="582" w:name="_Toc21597497"/>
      <w:bookmarkEnd w:id="582"/>
      <w:bookmarkStart w:id="583" w:name="_Toc24548663"/>
      <w:bookmarkEnd w:id="583"/>
      <w:bookmarkStart w:id="584" w:name="_Toc34298364"/>
      <w:bookmarkEnd w:id="584"/>
      <w:bookmarkStart w:id="585" w:name="_Toc23257640"/>
      <w:bookmarkEnd w:id="585"/>
      <w:bookmarkStart w:id="586" w:name="_Toc34298365"/>
      <w:bookmarkEnd w:id="586"/>
      <w:bookmarkStart w:id="587" w:name="_Toc23257641"/>
      <w:bookmarkEnd w:id="587"/>
      <w:bookmarkStart w:id="588" w:name="_Toc487528492"/>
      <w:bookmarkEnd w:id="588"/>
      <w:bookmarkStart w:id="589" w:name="_Toc487619779"/>
      <w:bookmarkEnd w:id="589"/>
      <w:bookmarkStart w:id="590" w:name="_Toc199954871"/>
      <w:bookmarkStart w:id="591" w:name="_Toc209125219"/>
      <w:r>
        <w:rPr>
          <w:rFonts w:eastAsia="宋体"/>
          <w:lang w:eastAsia="zh-CN"/>
        </w:rPr>
        <w:t>基本参数</w:t>
      </w:r>
      <w:bookmarkEnd w:id="590"/>
      <w:bookmarkEnd w:id="591"/>
    </w:p>
    <w:p w14:paraId="764513D0">
      <w:pPr>
        <w:pStyle w:val="8"/>
      </w:pPr>
      <w:r>
        <w:t>本项目拟配备的医用射线装置</w:t>
      </w:r>
      <w:r>
        <w:rPr>
          <w:lang w:eastAsia="zh-CN"/>
        </w:rPr>
        <w:t>主要参数列于</w:t>
      </w:r>
      <w:r>
        <w:fldChar w:fldCharType="begin"/>
      </w:r>
      <w:r>
        <w:instrText xml:space="preserve"> REF _Ref479265600 \h  \* MERGEFORMAT </w:instrText>
      </w:r>
      <w:r>
        <w:fldChar w:fldCharType="separate"/>
      </w:r>
      <w:r>
        <w:t>表 3</w:t>
      </w:r>
      <w:r>
        <w:noBreakHyphen/>
      </w:r>
      <w:r>
        <w:t>1</w:t>
      </w:r>
      <w:r>
        <w:fldChar w:fldCharType="end"/>
      </w:r>
      <w:r>
        <w:rPr>
          <w:lang w:eastAsia="zh-CN"/>
        </w:rPr>
        <w:t>。</w:t>
      </w:r>
    </w:p>
    <w:p w14:paraId="53160DF8">
      <w:pPr>
        <w:pStyle w:val="15"/>
        <w:keepNext/>
      </w:pPr>
      <w:bookmarkStart w:id="592" w:name="_Ref479265600"/>
      <w:bookmarkStart w:id="593" w:name="_Toc487620041"/>
      <w:bookmarkStart w:id="594" w:name="_Toc150973453"/>
      <w:bookmarkStart w:id="595" w:name="_Toc34738376"/>
      <w:r>
        <w:t xml:space="preserve">表 </w:t>
      </w:r>
      <w:r>
        <w:fldChar w:fldCharType="begin"/>
      </w:r>
      <w:r>
        <w:instrText xml:space="preserve"> STYLEREF 1 \s </w:instrText>
      </w:r>
      <w:r>
        <w:fldChar w:fldCharType="separate"/>
      </w:r>
      <w:r>
        <w:t>3</w:t>
      </w:r>
      <w:r>
        <w:fldChar w:fldCharType="end"/>
      </w:r>
      <w:r>
        <w:noBreakHyphen/>
      </w:r>
      <w:r>
        <w:fldChar w:fldCharType="begin"/>
      </w:r>
      <w:r>
        <w:instrText xml:space="preserve"> SEQ 表 \* ARABIC \s 1 </w:instrText>
      </w:r>
      <w:r>
        <w:fldChar w:fldCharType="separate"/>
      </w:r>
      <w:r>
        <w:t>1</w:t>
      </w:r>
      <w:r>
        <w:fldChar w:fldCharType="end"/>
      </w:r>
      <w:bookmarkEnd w:id="592"/>
      <w:r>
        <w:t xml:space="preserve"> 本项目拟配备的</w:t>
      </w:r>
      <w:bookmarkStart w:id="596" w:name="_Hlk205039712"/>
      <w:r>
        <w:t>医用射线装置一览表</w:t>
      </w:r>
      <w:bookmarkEnd w:id="593"/>
      <w:bookmarkEnd w:id="594"/>
      <w:bookmarkEnd w:id="595"/>
      <w:bookmarkEnd w:id="596"/>
    </w:p>
    <w:tbl>
      <w:tblPr>
        <w:tblStyle w:val="4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27"/>
        <w:gridCol w:w="945"/>
        <w:gridCol w:w="735"/>
        <w:gridCol w:w="2624"/>
        <w:gridCol w:w="844"/>
        <w:gridCol w:w="626"/>
        <w:gridCol w:w="736"/>
        <w:gridCol w:w="1585"/>
      </w:tblGrid>
      <w:tr w14:paraId="0284F5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47" w:type="pct"/>
            <w:vAlign w:val="center"/>
          </w:tcPr>
          <w:p w14:paraId="1022C33B">
            <w:pPr>
              <w:jc w:val="center"/>
              <w:rPr>
                <w:b/>
                <w:bCs/>
              </w:rPr>
            </w:pPr>
            <w:bookmarkStart w:id="597" w:name="_Hlk205039761"/>
            <w:r>
              <w:rPr>
                <w:b/>
                <w:bCs/>
              </w:rPr>
              <w:t>序号</w:t>
            </w:r>
          </w:p>
        </w:tc>
        <w:tc>
          <w:tcPr>
            <w:tcW w:w="555" w:type="pct"/>
            <w:vAlign w:val="center"/>
          </w:tcPr>
          <w:p w14:paraId="20A863A3">
            <w:pPr>
              <w:jc w:val="center"/>
              <w:rPr>
                <w:b/>
                <w:bCs/>
              </w:rPr>
            </w:pPr>
            <w:r>
              <w:rPr>
                <w:b/>
                <w:bCs/>
              </w:rPr>
              <w:t>射线装置名称</w:t>
            </w:r>
          </w:p>
        </w:tc>
        <w:tc>
          <w:tcPr>
            <w:tcW w:w="432" w:type="pct"/>
            <w:vAlign w:val="center"/>
          </w:tcPr>
          <w:p w14:paraId="77031657">
            <w:pPr>
              <w:jc w:val="center"/>
              <w:rPr>
                <w:b/>
                <w:bCs/>
              </w:rPr>
            </w:pPr>
            <w:r>
              <w:rPr>
                <w:b/>
                <w:bCs/>
              </w:rPr>
              <w:t>规格型号</w:t>
            </w:r>
          </w:p>
        </w:tc>
        <w:tc>
          <w:tcPr>
            <w:tcW w:w="1540" w:type="pct"/>
            <w:vAlign w:val="center"/>
          </w:tcPr>
          <w:p w14:paraId="4C7CF54D">
            <w:pPr>
              <w:jc w:val="center"/>
              <w:rPr>
                <w:b/>
                <w:bCs/>
              </w:rPr>
            </w:pPr>
            <w:r>
              <w:rPr>
                <w:b/>
                <w:bCs/>
              </w:rPr>
              <w:t>主要参数</w:t>
            </w:r>
          </w:p>
          <w:p w14:paraId="70DB61D0">
            <w:pPr>
              <w:rPr>
                <w:b/>
                <w:bCs/>
              </w:rPr>
            </w:pPr>
            <w:r>
              <w:rPr>
                <w:b/>
                <w:bCs/>
              </w:rPr>
              <w:t>（能量/管电压，管电流）</w:t>
            </w:r>
          </w:p>
        </w:tc>
        <w:tc>
          <w:tcPr>
            <w:tcW w:w="496" w:type="pct"/>
            <w:vAlign w:val="center"/>
          </w:tcPr>
          <w:p w14:paraId="2B445669">
            <w:pPr>
              <w:jc w:val="center"/>
              <w:rPr>
                <w:b/>
                <w:bCs/>
              </w:rPr>
            </w:pPr>
            <w:r>
              <w:rPr>
                <w:b/>
                <w:bCs/>
              </w:rPr>
              <w:t>生产厂家</w:t>
            </w:r>
          </w:p>
        </w:tc>
        <w:tc>
          <w:tcPr>
            <w:tcW w:w="368" w:type="pct"/>
            <w:vAlign w:val="center"/>
          </w:tcPr>
          <w:p w14:paraId="77B3B8B5">
            <w:pPr>
              <w:jc w:val="center"/>
              <w:rPr>
                <w:b/>
                <w:bCs/>
              </w:rPr>
            </w:pPr>
            <w:r>
              <w:rPr>
                <w:b/>
                <w:bCs/>
              </w:rPr>
              <w:t>类别</w:t>
            </w:r>
          </w:p>
        </w:tc>
        <w:tc>
          <w:tcPr>
            <w:tcW w:w="432" w:type="pct"/>
            <w:vAlign w:val="center"/>
          </w:tcPr>
          <w:p w14:paraId="44C1EB4B">
            <w:pPr>
              <w:jc w:val="center"/>
              <w:rPr>
                <w:b/>
                <w:bCs/>
              </w:rPr>
            </w:pPr>
            <w:r>
              <w:rPr>
                <w:b/>
                <w:bCs/>
              </w:rPr>
              <w:t>数量</w:t>
            </w:r>
          </w:p>
        </w:tc>
        <w:tc>
          <w:tcPr>
            <w:tcW w:w="930" w:type="pct"/>
            <w:vAlign w:val="center"/>
          </w:tcPr>
          <w:p w14:paraId="5E6C79AE">
            <w:pPr>
              <w:jc w:val="center"/>
              <w:rPr>
                <w:b/>
                <w:bCs/>
              </w:rPr>
            </w:pPr>
            <w:r>
              <w:rPr>
                <w:b/>
                <w:bCs/>
              </w:rPr>
              <w:t>所在位置</w:t>
            </w:r>
          </w:p>
        </w:tc>
      </w:tr>
      <w:tr w14:paraId="7F99C7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 w:hRule="atLeast"/>
          <w:jc w:val="center"/>
        </w:trPr>
        <w:tc>
          <w:tcPr>
            <w:tcW w:w="247" w:type="pct"/>
            <w:vAlign w:val="center"/>
          </w:tcPr>
          <w:p w14:paraId="41C95CE6">
            <w:pPr>
              <w:jc w:val="center"/>
            </w:pPr>
            <w:r>
              <w:t>1</w:t>
            </w:r>
          </w:p>
        </w:tc>
        <w:tc>
          <w:tcPr>
            <w:tcW w:w="555" w:type="pct"/>
            <w:vAlign w:val="center"/>
          </w:tcPr>
          <w:p w14:paraId="64FDC3C3">
            <w:pPr>
              <w:jc w:val="center"/>
            </w:pPr>
            <w:r>
              <w:t>质子治疗系统</w:t>
            </w:r>
          </w:p>
        </w:tc>
        <w:tc>
          <w:tcPr>
            <w:tcW w:w="432" w:type="pct"/>
            <w:vAlign w:val="center"/>
          </w:tcPr>
          <w:p w14:paraId="764C095F">
            <w:pPr>
              <w:jc w:val="center"/>
            </w:pPr>
            <w:r>
              <w:t>待定</w:t>
            </w:r>
          </w:p>
        </w:tc>
        <w:tc>
          <w:tcPr>
            <w:tcW w:w="1540" w:type="pct"/>
            <w:vAlign w:val="center"/>
          </w:tcPr>
          <w:p w14:paraId="5E10732D">
            <w:pPr>
              <w:jc w:val="center"/>
            </w:pPr>
            <w:r>
              <w:t>最高能量230MeV</w:t>
            </w:r>
          </w:p>
          <w:p w14:paraId="381F7451">
            <w:pPr>
              <w:jc w:val="center"/>
            </w:pPr>
            <w:r>
              <w:t>（1间质子治疗机房）</w:t>
            </w:r>
          </w:p>
        </w:tc>
        <w:tc>
          <w:tcPr>
            <w:tcW w:w="496" w:type="pct"/>
            <w:vAlign w:val="center"/>
          </w:tcPr>
          <w:p w14:paraId="29BE21A4">
            <w:pPr>
              <w:jc w:val="center"/>
            </w:pPr>
            <w:r>
              <w:t>待定</w:t>
            </w:r>
          </w:p>
        </w:tc>
        <w:tc>
          <w:tcPr>
            <w:tcW w:w="368" w:type="pct"/>
            <w:vAlign w:val="center"/>
          </w:tcPr>
          <w:p w14:paraId="7E1D5EBA">
            <w:pPr>
              <w:jc w:val="center"/>
            </w:pPr>
            <w:r>
              <w:t>Ⅰ</w:t>
            </w:r>
          </w:p>
        </w:tc>
        <w:tc>
          <w:tcPr>
            <w:tcW w:w="432" w:type="pct"/>
            <w:vAlign w:val="center"/>
          </w:tcPr>
          <w:p w14:paraId="47C7F0B8">
            <w:pPr>
              <w:jc w:val="center"/>
            </w:pPr>
            <w:r>
              <w:t>1套</w:t>
            </w:r>
          </w:p>
        </w:tc>
        <w:tc>
          <w:tcPr>
            <w:tcW w:w="930" w:type="pct"/>
            <w:vMerge w:val="restart"/>
            <w:vAlign w:val="center"/>
          </w:tcPr>
          <w:p w14:paraId="5C6A9317">
            <w:pPr>
              <w:jc w:val="center"/>
            </w:pPr>
            <w:r>
              <w:t>质子中心楼的质子治疗机房</w:t>
            </w:r>
          </w:p>
        </w:tc>
      </w:tr>
      <w:tr w14:paraId="386205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4" w:hRule="atLeast"/>
          <w:jc w:val="center"/>
        </w:trPr>
        <w:tc>
          <w:tcPr>
            <w:tcW w:w="247" w:type="pct"/>
            <w:vAlign w:val="center"/>
          </w:tcPr>
          <w:p w14:paraId="4992D345">
            <w:pPr>
              <w:jc w:val="center"/>
            </w:pPr>
            <w:r>
              <w:t>2</w:t>
            </w:r>
          </w:p>
        </w:tc>
        <w:tc>
          <w:tcPr>
            <w:tcW w:w="555" w:type="pct"/>
            <w:vAlign w:val="center"/>
          </w:tcPr>
          <w:p w14:paraId="20BFE924">
            <w:pPr>
              <w:jc w:val="center"/>
            </w:pPr>
            <w:r>
              <w:t>定位X射线管</w:t>
            </w:r>
          </w:p>
        </w:tc>
        <w:tc>
          <w:tcPr>
            <w:tcW w:w="432" w:type="pct"/>
            <w:vAlign w:val="center"/>
          </w:tcPr>
          <w:p w14:paraId="7D5FD334">
            <w:pPr>
              <w:jc w:val="center"/>
            </w:pPr>
            <w:r>
              <w:t>待定</w:t>
            </w:r>
          </w:p>
        </w:tc>
        <w:tc>
          <w:tcPr>
            <w:tcW w:w="1540" w:type="pct"/>
            <w:vAlign w:val="center"/>
          </w:tcPr>
          <w:p w14:paraId="60367CE2">
            <w:pPr>
              <w:jc w:val="center"/>
              <w:rPr>
                <w:bCs/>
                <w:kern w:val="0"/>
              </w:rPr>
            </w:pPr>
            <w:r>
              <w:rPr>
                <w:bCs/>
                <w:kern w:val="0"/>
              </w:rPr>
              <w:t>最大管电压150kV，</w:t>
            </w:r>
          </w:p>
          <w:p w14:paraId="2561C1D8">
            <w:pPr>
              <w:jc w:val="center"/>
            </w:pPr>
            <w:r>
              <w:rPr>
                <w:bCs/>
                <w:kern w:val="0"/>
              </w:rPr>
              <w:t>最大管电流1000mA</w:t>
            </w:r>
          </w:p>
        </w:tc>
        <w:tc>
          <w:tcPr>
            <w:tcW w:w="496" w:type="pct"/>
            <w:vAlign w:val="center"/>
          </w:tcPr>
          <w:p w14:paraId="325649D8">
            <w:pPr>
              <w:jc w:val="center"/>
            </w:pPr>
            <w:r>
              <w:t>待定</w:t>
            </w:r>
          </w:p>
        </w:tc>
        <w:tc>
          <w:tcPr>
            <w:tcW w:w="368" w:type="pct"/>
            <w:vAlign w:val="center"/>
          </w:tcPr>
          <w:p w14:paraId="335BBD29">
            <w:pPr>
              <w:jc w:val="center"/>
            </w:pPr>
            <w:r>
              <w:t>Ⅲ</w:t>
            </w:r>
          </w:p>
        </w:tc>
        <w:tc>
          <w:tcPr>
            <w:tcW w:w="432" w:type="pct"/>
            <w:vAlign w:val="center"/>
          </w:tcPr>
          <w:p w14:paraId="617491A1">
            <w:pPr>
              <w:jc w:val="center"/>
            </w:pPr>
            <w:r>
              <w:t>2个</w:t>
            </w:r>
          </w:p>
        </w:tc>
        <w:tc>
          <w:tcPr>
            <w:tcW w:w="930" w:type="pct"/>
            <w:vMerge w:val="continue"/>
            <w:vAlign w:val="center"/>
          </w:tcPr>
          <w:p w14:paraId="5003AF1F">
            <w:pPr>
              <w:jc w:val="center"/>
            </w:pPr>
          </w:p>
        </w:tc>
      </w:tr>
      <w:tr w14:paraId="2077C7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1" w:hRule="atLeast"/>
          <w:jc w:val="center"/>
        </w:trPr>
        <w:tc>
          <w:tcPr>
            <w:tcW w:w="247" w:type="pct"/>
            <w:vAlign w:val="center"/>
          </w:tcPr>
          <w:p w14:paraId="2382F675">
            <w:pPr>
              <w:jc w:val="center"/>
            </w:pPr>
            <w:r>
              <w:t>3</w:t>
            </w:r>
          </w:p>
        </w:tc>
        <w:tc>
          <w:tcPr>
            <w:tcW w:w="555" w:type="pct"/>
            <w:vAlign w:val="center"/>
          </w:tcPr>
          <w:p w14:paraId="7235B553">
            <w:pPr>
              <w:jc w:val="center"/>
            </w:pPr>
            <w:r>
              <w:t>滑轨CT机</w:t>
            </w:r>
          </w:p>
        </w:tc>
        <w:tc>
          <w:tcPr>
            <w:tcW w:w="432" w:type="pct"/>
            <w:vAlign w:val="center"/>
          </w:tcPr>
          <w:p w14:paraId="117A34A8">
            <w:pPr>
              <w:jc w:val="center"/>
            </w:pPr>
            <w:r>
              <w:t>待定</w:t>
            </w:r>
          </w:p>
        </w:tc>
        <w:tc>
          <w:tcPr>
            <w:tcW w:w="1540" w:type="pct"/>
            <w:vAlign w:val="center"/>
          </w:tcPr>
          <w:p w14:paraId="1842BC1E">
            <w:pPr>
              <w:jc w:val="center"/>
            </w:pPr>
            <w:r>
              <w:t>最大管电压140kV</w:t>
            </w:r>
          </w:p>
          <w:p w14:paraId="53378F62">
            <w:pPr>
              <w:jc w:val="center"/>
            </w:pPr>
            <w:r>
              <w:t>最大管电流660mA</w:t>
            </w:r>
          </w:p>
        </w:tc>
        <w:tc>
          <w:tcPr>
            <w:tcW w:w="496" w:type="pct"/>
            <w:vAlign w:val="center"/>
          </w:tcPr>
          <w:p w14:paraId="15847D31">
            <w:pPr>
              <w:jc w:val="center"/>
            </w:pPr>
            <w:r>
              <w:t>待定</w:t>
            </w:r>
          </w:p>
        </w:tc>
        <w:tc>
          <w:tcPr>
            <w:tcW w:w="368" w:type="pct"/>
            <w:vAlign w:val="center"/>
          </w:tcPr>
          <w:p w14:paraId="16C38B6F">
            <w:pPr>
              <w:jc w:val="center"/>
            </w:pPr>
            <w:r>
              <w:t>Ⅲ</w:t>
            </w:r>
          </w:p>
        </w:tc>
        <w:tc>
          <w:tcPr>
            <w:tcW w:w="432" w:type="pct"/>
            <w:vAlign w:val="center"/>
          </w:tcPr>
          <w:p w14:paraId="66C8D180">
            <w:pPr>
              <w:jc w:val="center"/>
            </w:pPr>
            <w:r>
              <w:t>1台</w:t>
            </w:r>
          </w:p>
        </w:tc>
        <w:tc>
          <w:tcPr>
            <w:tcW w:w="930" w:type="pct"/>
            <w:vMerge w:val="continue"/>
            <w:vAlign w:val="center"/>
          </w:tcPr>
          <w:p w14:paraId="411A13D6">
            <w:pPr>
              <w:jc w:val="center"/>
            </w:pPr>
          </w:p>
        </w:tc>
      </w:tr>
      <w:tr w14:paraId="12BCA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3" w:hRule="atLeast"/>
          <w:jc w:val="center"/>
        </w:trPr>
        <w:tc>
          <w:tcPr>
            <w:tcW w:w="247" w:type="pct"/>
            <w:vAlign w:val="center"/>
          </w:tcPr>
          <w:p w14:paraId="2E32C2AF">
            <w:pPr>
              <w:jc w:val="center"/>
            </w:pPr>
            <w:r>
              <w:t>4</w:t>
            </w:r>
          </w:p>
        </w:tc>
        <w:tc>
          <w:tcPr>
            <w:tcW w:w="555" w:type="pct"/>
            <w:vAlign w:val="center"/>
          </w:tcPr>
          <w:p w14:paraId="6C6380D3">
            <w:pPr>
              <w:jc w:val="center"/>
            </w:pPr>
            <w:r>
              <w:t>定位CT机</w:t>
            </w:r>
          </w:p>
        </w:tc>
        <w:tc>
          <w:tcPr>
            <w:tcW w:w="432" w:type="pct"/>
            <w:vAlign w:val="center"/>
          </w:tcPr>
          <w:p w14:paraId="405202E8">
            <w:pPr>
              <w:jc w:val="center"/>
            </w:pPr>
            <w:r>
              <w:t>待定</w:t>
            </w:r>
          </w:p>
        </w:tc>
        <w:tc>
          <w:tcPr>
            <w:tcW w:w="1540" w:type="pct"/>
            <w:vAlign w:val="center"/>
          </w:tcPr>
          <w:p w14:paraId="2546599F">
            <w:pPr>
              <w:jc w:val="center"/>
              <w:rPr>
                <w:bCs/>
                <w:kern w:val="0"/>
              </w:rPr>
            </w:pPr>
            <w:r>
              <w:rPr>
                <w:bCs/>
                <w:kern w:val="0"/>
              </w:rPr>
              <w:t>最大管电压150kV</w:t>
            </w:r>
          </w:p>
          <w:p w14:paraId="16E8EC5A">
            <w:pPr>
              <w:jc w:val="center"/>
              <w:rPr>
                <w:bCs/>
                <w:kern w:val="0"/>
              </w:rPr>
            </w:pPr>
            <w:r>
              <w:rPr>
                <w:bCs/>
                <w:kern w:val="0"/>
              </w:rPr>
              <w:t>最大管电流1300mA</w:t>
            </w:r>
          </w:p>
        </w:tc>
        <w:tc>
          <w:tcPr>
            <w:tcW w:w="496" w:type="pct"/>
            <w:vAlign w:val="center"/>
          </w:tcPr>
          <w:p w14:paraId="00BFE608">
            <w:pPr>
              <w:jc w:val="center"/>
            </w:pPr>
            <w:r>
              <w:t>待定</w:t>
            </w:r>
          </w:p>
        </w:tc>
        <w:tc>
          <w:tcPr>
            <w:tcW w:w="368" w:type="pct"/>
            <w:vAlign w:val="center"/>
          </w:tcPr>
          <w:p w14:paraId="5CE87042">
            <w:pPr>
              <w:jc w:val="center"/>
            </w:pPr>
            <w:r>
              <w:t>Ⅲ</w:t>
            </w:r>
          </w:p>
        </w:tc>
        <w:tc>
          <w:tcPr>
            <w:tcW w:w="432" w:type="pct"/>
            <w:vAlign w:val="center"/>
          </w:tcPr>
          <w:p w14:paraId="5C278C63">
            <w:pPr>
              <w:jc w:val="center"/>
              <w:rPr>
                <w:color w:val="000000"/>
                <w:szCs w:val="21"/>
              </w:rPr>
            </w:pPr>
            <w:r>
              <w:rPr>
                <w:color w:val="000000"/>
                <w:szCs w:val="21"/>
              </w:rPr>
              <w:t>1台</w:t>
            </w:r>
          </w:p>
        </w:tc>
        <w:tc>
          <w:tcPr>
            <w:tcW w:w="930" w:type="pct"/>
            <w:vAlign w:val="center"/>
          </w:tcPr>
          <w:p w14:paraId="7441934B">
            <w:pPr>
              <w:jc w:val="center"/>
            </w:pPr>
            <w:r>
              <w:rPr>
                <w:color w:val="000000"/>
                <w:szCs w:val="21"/>
              </w:rPr>
              <w:t>质子中心楼地上一层CT检查室</w:t>
            </w:r>
          </w:p>
        </w:tc>
      </w:tr>
      <w:bookmarkEnd w:id="597"/>
    </w:tbl>
    <w:p w14:paraId="69B5C4D4">
      <w:pPr>
        <w:pStyle w:val="3"/>
        <w:rPr>
          <w:rFonts w:ascii="Times New Roman" w:hAnsi="Times New Roman" w:eastAsia="宋体"/>
        </w:rPr>
      </w:pPr>
      <w:bookmarkStart w:id="598" w:name="_Toc487528495"/>
      <w:bookmarkEnd w:id="598"/>
      <w:bookmarkStart w:id="599" w:name="_Toc487619806"/>
      <w:bookmarkEnd w:id="599"/>
      <w:bookmarkStart w:id="600" w:name="_Toc487619869"/>
      <w:bookmarkEnd w:id="600"/>
      <w:bookmarkStart w:id="601" w:name="_Toc71554611"/>
      <w:bookmarkEnd w:id="601"/>
      <w:bookmarkStart w:id="602" w:name="_Toc71555167"/>
      <w:bookmarkEnd w:id="602"/>
      <w:bookmarkStart w:id="603" w:name="_Toc487528519"/>
      <w:bookmarkEnd w:id="603"/>
      <w:bookmarkStart w:id="604" w:name="_Toc487528494"/>
      <w:bookmarkEnd w:id="604"/>
      <w:bookmarkStart w:id="605" w:name="_Toc487528517"/>
      <w:bookmarkEnd w:id="605"/>
      <w:bookmarkStart w:id="606" w:name="_Toc487528518"/>
      <w:bookmarkEnd w:id="606"/>
      <w:bookmarkStart w:id="607" w:name="_Toc487619781"/>
      <w:bookmarkEnd w:id="607"/>
      <w:bookmarkStart w:id="608" w:name="_Toc487619782"/>
      <w:bookmarkEnd w:id="608"/>
      <w:bookmarkStart w:id="609" w:name="_Toc487619804"/>
      <w:bookmarkEnd w:id="609"/>
      <w:bookmarkStart w:id="610" w:name="_Toc487528582"/>
      <w:bookmarkEnd w:id="610"/>
      <w:bookmarkStart w:id="611" w:name="_Toc487619805"/>
      <w:bookmarkEnd w:id="611"/>
      <w:bookmarkStart w:id="612" w:name="_Toc34738586"/>
      <w:bookmarkStart w:id="613" w:name="_Toc71554609"/>
      <w:bookmarkStart w:id="614" w:name="_Toc199954872"/>
      <w:bookmarkStart w:id="615" w:name="_Toc209125220"/>
      <w:bookmarkStart w:id="616" w:name="_Toc71554612"/>
      <w:r>
        <w:rPr>
          <w:rFonts w:ascii="Times New Roman" w:hAnsi="Times New Roman" w:eastAsia="宋体"/>
        </w:rPr>
        <w:t>工艺设备</w:t>
      </w:r>
      <w:bookmarkEnd w:id="612"/>
      <w:bookmarkEnd w:id="613"/>
      <w:bookmarkEnd w:id="614"/>
      <w:bookmarkEnd w:id="615"/>
    </w:p>
    <w:p w14:paraId="7D4CFAA3">
      <w:pPr>
        <w:pStyle w:val="4"/>
        <w:rPr>
          <w:rFonts w:eastAsia="宋体"/>
        </w:rPr>
      </w:pPr>
      <w:bookmarkStart w:id="617" w:name="_Toc199954873"/>
      <w:bookmarkStart w:id="618" w:name="_Toc209125221"/>
      <w:r>
        <w:rPr>
          <w:rFonts w:eastAsia="宋体"/>
          <w:lang w:eastAsia="zh-CN"/>
        </w:rPr>
        <w:t>质子治疗系统</w:t>
      </w:r>
      <w:bookmarkEnd w:id="617"/>
      <w:bookmarkEnd w:id="618"/>
    </w:p>
    <w:p w14:paraId="0D384890">
      <w:pPr>
        <w:pStyle w:val="187"/>
      </w:pPr>
      <w:r>
        <w:rPr>
          <w:lang w:eastAsia="zh-CN"/>
        </w:rPr>
        <w:t>装置组成</w:t>
      </w:r>
    </w:p>
    <w:p w14:paraId="43446DD7">
      <w:pPr>
        <w:pStyle w:val="8"/>
      </w:pPr>
      <w:bookmarkStart w:id="619" w:name="_Hlk176355914"/>
      <w:r>
        <w:t>本项目拟使用质子治疗系统</w:t>
      </w:r>
      <w:r>
        <w:rPr>
          <w:lang w:eastAsia="zh-CN"/>
        </w:rPr>
        <w:t>，该质子治疗系统</w:t>
      </w:r>
      <w:r>
        <w:t>主要由束流发生系统、束流</w:t>
      </w:r>
      <w:r>
        <w:rPr>
          <w:lang w:eastAsia="zh-CN"/>
        </w:rPr>
        <w:t>配送</w:t>
      </w:r>
      <w:r>
        <w:t>系统、患者定位系统和控制系统组成。束流发生系统是一台超导同步质子回旋加速器，</w:t>
      </w:r>
      <w:r>
        <w:rPr>
          <w:lang w:eastAsia="zh-CN"/>
        </w:rPr>
        <w:t>加速器模块</w:t>
      </w:r>
      <w:r>
        <w:t>安装在可190°旋转的机架上。束流</w:t>
      </w:r>
      <w:r>
        <w:rPr>
          <w:lang w:eastAsia="zh-CN"/>
        </w:rPr>
        <w:t>配送</w:t>
      </w:r>
      <w:r>
        <w:t>系统包含束流射程调节系统、治疗头。束流射程调节系统与治疗头固定于加速器上，随同加速器旋转机架同步旋转</w:t>
      </w:r>
      <w:r>
        <w:rPr>
          <w:lang w:eastAsia="zh-CN"/>
        </w:rPr>
        <w:t>。</w:t>
      </w:r>
      <w:r>
        <w:t>加速器产生的</w:t>
      </w:r>
      <w:r>
        <w:rPr>
          <w:lang w:eastAsia="zh-CN"/>
        </w:rPr>
        <w:t>质子</w:t>
      </w:r>
      <w:r>
        <w:t>束流加速至230MeV后引出，经束流</w:t>
      </w:r>
      <w:r>
        <w:rPr>
          <w:lang w:eastAsia="zh-CN"/>
        </w:rPr>
        <w:t>配送</w:t>
      </w:r>
      <w:r>
        <w:t>系统调节，根据实际治疗时患者肿瘤的深度和厚度，在输出端可得到</w:t>
      </w:r>
      <w:r>
        <w:rPr>
          <w:lang w:eastAsia="zh-CN"/>
        </w:rPr>
        <w:t>7</w:t>
      </w:r>
      <w:r>
        <w:t>0~230MeV</w:t>
      </w:r>
      <w:r>
        <w:rPr>
          <w:lang w:eastAsia="zh-CN"/>
        </w:rPr>
        <w:t>不同</w:t>
      </w:r>
      <w:r>
        <w:t>能量的质子束流。装置结构组成如</w:t>
      </w:r>
      <w:r>
        <w:fldChar w:fldCharType="begin"/>
      </w:r>
      <w:r>
        <w:instrText xml:space="preserve"> REF _Ref40108690 \h  \* MERGEFORMAT </w:instrText>
      </w:r>
      <w:r>
        <w:fldChar w:fldCharType="separate"/>
      </w:r>
      <w:r>
        <w:t>图 3</w:t>
      </w:r>
      <w:r>
        <w:noBreakHyphen/>
      </w:r>
      <w:r>
        <w:t>6</w:t>
      </w:r>
      <w:r>
        <w:fldChar w:fldCharType="end"/>
      </w:r>
      <w:r>
        <w:t>~</w:t>
      </w:r>
      <w:r>
        <w:fldChar w:fldCharType="begin"/>
      </w:r>
      <w:r>
        <w:instrText xml:space="preserve"> REF _Ref21877764 \h  \* MERGEFORMAT </w:instrText>
      </w:r>
      <w:r>
        <w:fldChar w:fldCharType="separate"/>
      </w:r>
      <w:r>
        <w:t>图 3</w:t>
      </w:r>
      <w:r>
        <w:noBreakHyphen/>
      </w:r>
      <w:r>
        <w:t>8</w:t>
      </w:r>
      <w:r>
        <w:fldChar w:fldCharType="end"/>
      </w:r>
      <w:r>
        <w:t>所示。其主要技术指标列于</w:t>
      </w:r>
      <w:r>
        <w:fldChar w:fldCharType="begin"/>
      </w:r>
      <w:r>
        <w:instrText xml:space="preserve"> REF _Ref22214195 \h  \* MERGEFORMAT </w:instrText>
      </w:r>
      <w:r>
        <w:fldChar w:fldCharType="separate"/>
      </w:r>
      <w:r>
        <w:t>表 3</w:t>
      </w:r>
      <w:r>
        <w:noBreakHyphen/>
      </w:r>
      <w:r>
        <w:t>2</w:t>
      </w:r>
      <w:r>
        <w:fldChar w:fldCharType="end"/>
      </w:r>
      <w:r>
        <w:t>。</w:t>
      </w:r>
    </w:p>
    <w:p w14:paraId="3336AD6B">
      <w:pPr>
        <w:pStyle w:val="15"/>
        <w:ind w:firstLine="560"/>
        <w:rPr>
          <w:color w:val="000000"/>
        </w:rPr>
      </w:pPr>
      <w:bookmarkStart w:id="620" w:name="_Ref22214195"/>
      <w:bookmarkStart w:id="621" w:name="_Toc74750895"/>
      <w:bookmarkStart w:id="622" w:name="_Toc39942144"/>
      <w:bookmarkStart w:id="623" w:name="_Toc94259329"/>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2</w:t>
      </w:r>
      <w:r>
        <w:rPr>
          <w:color w:val="000000"/>
        </w:rPr>
        <w:fldChar w:fldCharType="end"/>
      </w:r>
      <w:bookmarkEnd w:id="620"/>
      <w:bookmarkStart w:id="624" w:name="_Toc533010666"/>
      <w:r>
        <w:rPr>
          <w:color w:val="000000"/>
        </w:rPr>
        <w:t>质子治疗系统主要技术</w:t>
      </w:r>
      <w:bookmarkEnd w:id="624"/>
      <w:r>
        <w:rPr>
          <w:color w:val="000000"/>
        </w:rPr>
        <w:t>指标</w:t>
      </w:r>
      <w:bookmarkEnd w:id="621"/>
      <w:bookmarkEnd w:id="622"/>
      <w:bookmarkEnd w:id="623"/>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32"/>
        <w:gridCol w:w="4465"/>
      </w:tblGrid>
      <w:tr w14:paraId="3617F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blHeader/>
          <w:jc w:val="center"/>
        </w:trPr>
        <w:tc>
          <w:tcPr>
            <w:tcW w:w="3532" w:type="dxa"/>
            <w:tcBorders>
              <w:top w:val="single" w:color="auto" w:sz="4" w:space="0"/>
              <w:left w:val="single" w:color="auto" w:sz="4" w:space="0"/>
              <w:bottom w:val="single" w:color="auto" w:sz="4" w:space="0"/>
              <w:right w:val="single" w:color="auto" w:sz="4" w:space="0"/>
            </w:tcBorders>
            <w:vAlign w:val="center"/>
          </w:tcPr>
          <w:p w14:paraId="53A7B351">
            <w:pPr>
              <w:spacing w:line="276" w:lineRule="auto"/>
              <w:jc w:val="center"/>
              <w:rPr>
                <w:b/>
                <w:color w:val="000000"/>
                <w:szCs w:val="21"/>
              </w:rPr>
            </w:pPr>
            <w:r>
              <w:rPr>
                <w:b/>
                <w:color w:val="000000"/>
                <w:szCs w:val="21"/>
              </w:rPr>
              <w:t>指标</w:t>
            </w:r>
          </w:p>
        </w:tc>
        <w:tc>
          <w:tcPr>
            <w:tcW w:w="4465" w:type="dxa"/>
            <w:tcBorders>
              <w:top w:val="single" w:color="auto" w:sz="4" w:space="0"/>
              <w:left w:val="single" w:color="auto" w:sz="4" w:space="0"/>
              <w:bottom w:val="single" w:color="auto" w:sz="4" w:space="0"/>
              <w:right w:val="single" w:color="auto" w:sz="4" w:space="0"/>
            </w:tcBorders>
            <w:vAlign w:val="center"/>
          </w:tcPr>
          <w:p w14:paraId="63971546">
            <w:pPr>
              <w:spacing w:line="276" w:lineRule="auto"/>
              <w:jc w:val="center"/>
              <w:rPr>
                <w:b/>
                <w:color w:val="000000"/>
                <w:szCs w:val="21"/>
              </w:rPr>
            </w:pPr>
            <w:r>
              <w:rPr>
                <w:b/>
                <w:color w:val="000000"/>
                <w:szCs w:val="21"/>
              </w:rPr>
              <w:t>数值/方案</w:t>
            </w:r>
          </w:p>
        </w:tc>
      </w:tr>
      <w:tr w14:paraId="1C751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50B8FF72">
            <w:pPr>
              <w:spacing w:line="276" w:lineRule="auto"/>
              <w:jc w:val="center"/>
              <w:rPr>
                <w:color w:val="000000"/>
                <w:szCs w:val="21"/>
              </w:rPr>
            </w:pPr>
            <w:r>
              <w:rPr>
                <w:color w:val="000000"/>
                <w:szCs w:val="21"/>
              </w:rPr>
              <w:t>加速器主体</w:t>
            </w:r>
          </w:p>
        </w:tc>
        <w:tc>
          <w:tcPr>
            <w:tcW w:w="4465" w:type="dxa"/>
            <w:tcBorders>
              <w:top w:val="single" w:color="auto" w:sz="4" w:space="0"/>
              <w:left w:val="single" w:color="auto" w:sz="4" w:space="0"/>
              <w:bottom w:val="single" w:color="auto" w:sz="4" w:space="0"/>
              <w:right w:val="single" w:color="auto" w:sz="4" w:space="0"/>
            </w:tcBorders>
            <w:vAlign w:val="center"/>
          </w:tcPr>
          <w:p w14:paraId="642C8EF4">
            <w:pPr>
              <w:spacing w:line="276" w:lineRule="auto"/>
              <w:jc w:val="center"/>
              <w:rPr>
                <w:color w:val="000000"/>
                <w:szCs w:val="21"/>
              </w:rPr>
            </w:pPr>
            <w:r>
              <w:rPr>
                <w:color w:val="000000"/>
                <w:szCs w:val="21"/>
              </w:rPr>
              <w:t>超导回旋加速器（同步）</w:t>
            </w:r>
          </w:p>
        </w:tc>
      </w:tr>
      <w:tr w14:paraId="348AD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54322BB8">
            <w:pPr>
              <w:spacing w:line="276" w:lineRule="auto"/>
              <w:jc w:val="center"/>
              <w:rPr>
                <w:color w:val="000000"/>
                <w:szCs w:val="21"/>
              </w:rPr>
            </w:pPr>
            <w:r>
              <w:rPr>
                <w:color w:val="000000"/>
                <w:szCs w:val="21"/>
              </w:rPr>
              <w:t>射线种类</w:t>
            </w:r>
          </w:p>
        </w:tc>
        <w:tc>
          <w:tcPr>
            <w:tcW w:w="4465" w:type="dxa"/>
            <w:tcBorders>
              <w:top w:val="single" w:color="auto" w:sz="4" w:space="0"/>
              <w:left w:val="single" w:color="auto" w:sz="4" w:space="0"/>
              <w:bottom w:val="single" w:color="auto" w:sz="4" w:space="0"/>
              <w:right w:val="single" w:color="auto" w:sz="4" w:space="0"/>
            </w:tcBorders>
            <w:vAlign w:val="center"/>
          </w:tcPr>
          <w:p w14:paraId="23C415F3">
            <w:pPr>
              <w:spacing w:line="276" w:lineRule="auto"/>
              <w:jc w:val="center"/>
              <w:rPr>
                <w:color w:val="000000"/>
                <w:szCs w:val="21"/>
              </w:rPr>
            </w:pPr>
            <w:r>
              <w:rPr>
                <w:color w:val="000000"/>
                <w:szCs w:val="21"/>
              </w:rPr>
              <w:t>质子</w:t>
            </w:r>
          </w:p>
        </w:tc>
      </w:tr>
      <w:tr w14:paraId="75888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4DA1974C">
            <w:pPr>
              <w:spacing w:line="276" w:lineRule="auto"/>
              <w:jc w:val="center"/>
              <w:rPr>
                <w:color w:val="000000"/>
                <w:szCs w:val="21"/>
              </w:rPr>
            </w:pPr>
            <w:r>
              <w:rPr>
                <w:color w:val="000000"/>
                <w:szCs w:val="21"/>
              </w:rPr>
              <w:t>引出能量</w:t>
            </w:r>
          </w:p>
        </w:tc>
        <w:tc>
          <w:tcPr>
            <w:tcW w:w="4465" w:type="dxa"/>
            <w:tcBorders>
              <w:top w:val="single" w:color="auto" w:sz="4" w:space="0"/>
              <w:left w:val="single" w:color="auto" w:sz="4" w:space="0"/>
              <w:bottom w:val="single" w:color="auto" w:sz="4" w:space="0"/>
              <w:right w:val="single" w:color="auto" w:sz="4" w:space="0"/>
            </w:tcBorders>
            <w:vAlign w:val="center"/>
          </w:tcPr>
          <w:p w14:paraId="4B3619CC">
            <w:pPr>
              <w:spacing w:line="276" w:lineRule="auto"/>
              <w:jc w:val="center"/>
              <w:rPr>
                <w:color w:val="000000"/>
                <w:szCs w:val="21"/>
              </w:rPr>
            </w:pPr>
            <w:r>
              <w:rPr>
                <w:color w:val="000000"/>
                <w:szCs w:val="21"/>
              </w:rPr>
              <w:t>230MeV</w:t>
            </w:r>
          </w:p>
        </w:tc>
      </w:tr>
      <w:tr w14:paraId="52868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111B1834">
            <w:pPr>
              <w:spacing w:line="276" w:lineRule="auto"/>
              <w:jc w:val="center"/>
              <w:rPr>
                <w:color w:val="000000"/>
                <w:szCs w:val="21"/>
              </w:rPr>
            </w:pPr>
            <w:r>
              <w:rPr>
                <w:color w:val="000000"/>
                <w:szCs w:val="21"/>
              </w:rPr>
              <w:t>治疗能量范围（可调）</w:t>
            </w:r>
          </w:p>
        </w:tc>
        <w:tc>
          <w:tcPr>
            <w:tcW w:w="4465" w:type="dxa"/>
            <w:tcBorders>
              <w:top w:val="single" w:color="auto" w:sz="4" w:space="0"/>
              <w:left w:val="single" w:color="auto" w:sz="4" w:space="0"/>
              <w:bottom w:val="single" w:color="auto" w:sz="4" w:space="0"/>
              <w:right w:val="single" w:color="auto" w:sz="4" w:space="0"/>
            </w:tcBorders>
            <w:vAlign w:val="center"/>
          </w:tcPr>
          <w:p w14:paraId="577C3192">
            <w:pPr>
              <w:spacing w:line="276" w:lineRule="auto"/>
              <w:jc w:val="center"/>
              <w:rPr>
                <w:color w:val="000000"/>
                <w:szCs w:val="21"/>
              </w:rPr>
            </w:pPr>
            <w:r>
              <w:rPr>
                <w:color w:val="000000"/>
                <w:szCs w:val="21"/>
              </w:rPr>
              <w:t>70 ~230</w:t>
            </w:r>
            <w:bookmarkStart w:id="625" w:name="OLE_LINK6"/>
            <w:r>
              <w:rPr>
                <w:color w:val="000000"/>
                <w:szCs w:val="21"/>
              </w:rPr>
              <w:t>MeV</w:t>
            </w:r>
            <w:bookmarkEnd w:id="625"/>
          </w:p>
        </w:tc>
      </w:tr>
      <w:tr w14:paraId="2926A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0F0629AE">
            <w:pPr>
              <w:spacing w:line="276" w:lineRule="auto"/>
              <w:jc w:val="center"/>
              <w:rPr>
                <w:color w:val="000000"/>
                <w:szCs w:val="21"/>
              </w:rPr>
            </w:pPr>
            <w:r>
              <w:rPr>
                <w:color w:val="000000"/>
                <w:szCs w:val="21"/>
              </w:rPr>
              <w:t>治疗时引出流强</w:t>
            </w:r>
          </w:p>
        </w:tc>
        <w:tc>
          <w:tcPr>
            <w:tcW w:w="4465" w:type="dxa"/>
            <w:tcBorders>
              <w:top w:val="single" w:color="auto" w:sz="4" w:space="0"/>
              <w:left w:val="single" w:color="auto" w:sz="4" w:space="0"/>
              <w:bottom w:val="single" w:color="auto" w:sz="4" w:space="0"/>
              <w:right w:val="single" w:color="auto" w:sz="4" w:space="0"/>
            </w:tcBorders>
            <w:vAlign w:val="center"/>
          </w:tcPr>
          <w:p w14:paraId="7A79AE75">
            <w:pPr>
              <w:spacing w:line="276" w:lineRule="auto"/>
              <w:jc w:val="center"/>
              <w:rPr>
                <w:color w:val="000000"/>
                <w:szCs w:val="21"/>
              </w:rPr>
            </w:pPr>
            <w:r>
              <w:rPr>
                <w:color w:val="000000"/>
                <w:szCs w:val="21"/>
              </w:rPr>
              <w:t>0~3.0nA</w:t>
            </w:r>
          </w:p>
        </w:tc>
      </w:tr>
      <w:tr w14:paraId="4342D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4B9A9817">
            <w:pPr>
              <w:spacing w:line="276" w:lineRule="auto"/>
              <w:jc w:val="center"/>
              <w:rPr>
                <w:color w:val="000000"/>
                <w:szCs w:val="21"/>
              </w:rPr>
            </w:pPr>
            <w:r>
              <w:rPr>
                <w:color w:val="000000"/>
                <w:szCs w:val="21"/>
              </w:rPr>
              <w:t>输出剂量率（全射程内平均）</w:t>
            </w:r>
          </w:p>
        </w:tc>
        <w:tc>
          <w:tcPr>
            <w:tcW w:w="4465" w:type="dxa"/>
            <w:tcBorders>
              <w:top w:val="single" w:color="auto" w:sz="4" w:space="0"/>
              <w:left w:val="single" w:color="auto" w:sz="4" w:space="0"/>
              <w:bottom w:val="single" w:color="auto" w:sz="4" w:space="0"/>
              <w:right w:val="single" w:color="auto" w:sz="4" w:space="0"/>
            </w:tcBorders>
            <w:vAlign w:val="center"/>
          </w:tcPr>
          <w:p w14:paraId="04C98D6A">
            <w:pPr>
              <w:spacing w:line="276" w:lineRule="auto"/>
              <w:jc w:val="center"/>
              <w:rPr>
                <w:color w:val="000000"/>
                <w:szCs w:val="21"/>
              </w:rPr>
            </w:pPr>
            <w:r>
              <w:rPr>
                <w:color w:val="000000"/>
              </w:rPr>
              <w:t>2Gy/min/liter</w:t>
            </w:r>
          </w:p>
        </w:tc>
      </w:tr>
      <w:tr w14:paraId="1B90D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75C922AE">
            <w:pPr>
              <w:spacing w:line="276" w:lineRule="auto"/>
              <w:jc w:val="center"/>
              <w:rPr>
                <w:color w:val="000000"/>
                <w:szCs w:val="21"/>
              </w:rPr>
            </w:pPr>
            <w:r>
              <w:rPr>
                <w:color w:val="000000"/>
                <w:szCs w:val="21"/>
              </w:rPr>
              <w:t>射程范围</w:t>
            </w:r>
          </w:p>
        </w:tc>
        <w:tc>
          <w:tcPr>
            <w:tcW w:w="4465" w:type="dxa"/>
            <w:tcBorders>
              <w:top w:val="single" w:color="auto" w:sz="4" w:space="0"/>
              <w:left w:val="single" w:color="auto" w:sz="4" w:space="0"/>
              <w:bottom w:val="single" w:color="auto" w:sz="4" w:space="0"/>
              <w:right w:val="single" w:color="auto" w:sz="4" w:space="0"/>
            </w:tcBorders>
            <w:vAlign w:val="center"/>
          </w:tcPr>
          <w:p w14:paraId="40446984">
            <w:pPr>
              <w:spacing w:line="276" w:lineRule="auto"/>
              <w:jc w:val="center"/>
              <w:rPr>
                <w:color w:val="000000"/>
              </w:rPr>
            </w:pPr>
            <w:r>
              <w:rPr>
                <w:color w:val="000000"/>
              </w:rPr>
              <w:t>0.8 g /cm</w:t>
            </w:r>
            <w:r>
              <w:rPr>
                <w:color w:val="000000"/>
                <w:vertAlign w:val="superscript"/>
              </w:rPr>
              <w:t xml:space="preserve">2 </w:t>
            </w:r>
            <w:r>
              <w:rPr>
                <w:color w:val="000000"/>
              </w:rPr>
              <w:t>- 32.2 g/cm</w:t>
            </w:r>
            <w:r>
              <w:rPr>
                <w:color w:val="000000"/>
                <w:vertAlign w:val="superscript"/>
              </w:rPr>
              <w:t>2</w:t>
            </w:r>
          </w:p>
        </w:tc>
      </w:tr>
      <w:tr w14:paraId="1D17D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1E2114A9">
            <w:pPr>
              <w:spacing w:line="276" w:lineRule="auto"/>
              <w:jc w:val="center"/>
              <w:rPr>
                <w:color w:val="000000"/>
                <w:szCs w:val="21"/>
              </w:rPr>
            </w:pPr>
            <w:r>
              <w:rPr>
                <w:color w:val="000000"/>
                <w:szCs w:val="21"/>
              </w:rPr>
              <w:t>照射野范围</w:t>
            </w:r>
          </w:p>
        </w:tc>
        <w:tc>
          <w:tcPr>
            <w:tcW w:w="4465" w:type="dxa"/>
            <w:tcBorders>
              <w:top w:val="single" w:color="auto" w:sz="4" w:space="0"/>
              <w:left w:val="single" w:color="auto" w:sz="4" w:space="0"/>
              <w:bottom w:val="single" w:color="auto" w:sz="4" w:space="0"/>
              <w:right w:val="single" w:color="auto" w:sz="4" w:space="0"/>
            </w:tcBorders>
            <w:vAlign w:val="center"/>
          </w:tcPr>
          <w:p w14:paraId="76224E04">
            <w:pPr>
              <w:spacing w:line="276" w:lineRule="auto"/>
              <w:jc w:val="center"/>
              <w:rPr>
                <w:color w:val="000000"/>
                <w:szCs w:val="21"/>
              </w:rPr>
            </w:pPr>
            <w:r>
              <w:rPr>
                <w:color w:val="000000"/>
              </w:rPr>
              <w:t>20.0 ×20.0 cm</w:t>
            </w:r>
            <w:r>
              <w:rPr>
                <w:color w:val="000000"/>
                <w:vertAlign w:val="superscript"/>
              </w:rPr>
              <w:t>2</w:t>
            </w:r>
          </w:p>
        </w:tc>
      </w:tr>
      <w:tr w14:paraId="28367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36F6585F">
            <w:pPr>
              <w:spacing w:line="276" w:lineRule="auto"/>
              <w:jc w:val="center"/>
              <w:rPr>
                <w:color w:val="000000"/>
                <w:szCs w:val="21"/>
              </w:rPr>
            </w:pPr>
            <w:bookmarkStart w:id="626" w:name="OLE_LINK7"/>
            <w:r>
              <w:rPr>
                <w:color w:val="000000"/>
                <w:szCs w:val="21"/>
              </w:rPr>
              <w:t>加速器射频频率</w:t>
            </w:r>
            <w:bookmarkEnd w:id="626"/>
          </w:p>
        </w:tc>
        <w:tc>
          <w:tcPr>
            <w:tcW w:w="4465" w:type="dxa"/>
            <w:tcBorders>
              <w:top w:val="single" w:color="auto" w:sz="4" w:space="0"/>
              <w:left w:val="single" w:color="auto" w:sz="4" w:space="0"/>
              <w:bottom w:val="single" w:color="auto" w:sz="4" w:space="0"/>
              <w:right w:val="single" w:color="auto" w:sz="4" w:space="0"/>
            </w:tcBorders>
            <w:vAlign w:val="center"/>
          </w:tcPr>
          <w:p w14:paraId="23A91279">
            <w:pPr>
              <w:spacing w:line="276" w:lineRule="auto"/>
              <w:jc w:val="center"/>
              <w:rPr>
                <w:color w:val="000000"/>
                <w:szCs w:val="21"/>
              </w:rPr>
            </w:pPr>
            <w:r>
              <w:rPr>
                <w:color w:val="000000"/>
              </w:rPr>
              <w:t>94 MHz ~129 MHz</w:t>
            </w:r>
          </w:p>
        </w:tc>
      </w:tr>
      <w:tr w14:paraId="16ED8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4D700386">
            <w:pPr>
              <w:spacing w:line="276" w:lineRule="auto"/>
              <w:jc w:val="center"/>
              <w:rPr>
                <w:color w:val="000000"/>
                <w:szCs w:val="21"/>
              </w:rPr>
            </w:pPr>
            <w:r>
              <w:rPr>
                <w:color w:val="000000"/>
                <w:szCs w:val="21"/>
              </w:rPr>
              <w:t>加速器射频功率</w:t>
            </w:r>
          </w:p>
        </w:tc>
        <w:tc>
          <w:tcPr>
            <w:tcW w:w="4465" w:type="dxa"/>
            <w:tcBorders>
              <w:top w:val="single" w:color="auto" w:sz="4" w:space="0"/>
              <w:left w:val="single" w:color="auto" w:sz="4" w:space="0"/>
              <w:bottom w:val="single" w:color="auto" w:sz="4" w:space="0"/>
              <w:right w:val="single" w:color="auto" w:sz="4" w:space="0"/>
            </w:tcBorders>
            <w:vAlign w:val="center"/>
          </w:tcPr>
          <w:p w14:paraId="5D440E82">
            <w:pPr>
              <w:spacing w:line="276" w:lineRule="auto"/>
              <w:jc w:val="center"/>
              <w:rPr>
                <w:color w:val="000000"/>
                <w:szCs w:val="21"/>
              </w:rPr>
            </w:pPr>
            <w:r>
              <w:rPr>
                <w:color w:val="000000"/>
                <w:szCs w:val="21"/>
              </w:rPr>
              <w:t>20kW</w:t>
            </w:r>
          </w:p>
        </w:tc>
      </w:tr>
      <w:tr w14:paraId="299A4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308CB62E">
            <w:pPr>
              <w:spacing w:line="276" w:lineRule="auto"/>
              <w:jc w:val="center"/>
              <w:rPr>
                <w:color w:val="000000"/>
                <w:szCs w:val="21"/>
              </w:rPr>
            </w:pPr>
            <w:r>
              <w:rPr>
                <w:color w:val="000000"/>
                <w:szCs w:val="21"/>
              </w:rPr>
              <w:t>机架旋转范围</w:t>
            </w:r>
          </w:p>
        </w:tc>
        <w:tc>
          <w:tcPr>
            <w:tcW w:w="4465" w:type="dxa"/>
            <w:tcBorders>
              <w:top w:val="single" w:color="auto" w:sz="4" w:space="0"/>
              <w:left w:val="single" w:color="auto" w:sz="4" w:space="0"/>
              <w:bottom w:val="single" w:color="auto" w:sz="4" w:space="0"/>
              <w:right w:val="single" w:color="auto" w:sz="4" w:space="0"/>
            </w:tcBorders>
            <w:vAlign w:val="center"/>
          </w:tcPr>
          <w:p w14:paraId="2135D788">
            <w:pPr>
              <w:spacing w:line="276" w:lineRule="auto"/>
              <w:jc w:val="center"/>
              <w:rPr>
                <w:color w:val="000000"/>
                <w:szCs w:val="21"/>
              </w:rPr>
            </w:pPr>
            <w:r>
              <w:rPr>
                <w:color w:val="000000"/>
                <w:szCs w:val="21"/>
              </w:rPr>
              <w:t>190°（-5°~185°）</w:t>
            </w:r>
          </w:p>
        </w:tc>
      </w:tr>
      <w:tr w14:paraId="3D11B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3532" w:type="dxa"/>
            <w:tcBorders>
              <w:top w:val="single" w:color="auto" w:sz="4" w:space="0"/>
              <w:left w:val="single" w:color="auto" w:sz="4" w:space="0"/>
              <w:bottom w:val="single" w:color="auto" w:sz="4" w:space="0"/>
              <w:right w:val="single" w:color="auto" w:sz="4" w:space="0"/>
            </w:tcBorders>
            <w:vAlign w:val="center"/>
          </w:tcPr>
          <w:p w14:paraId="1EB819E9">
            <w:pPr>
              <w:spacing w:line="276" w:lineRule="auto"/>
              <w:jc w:val="center"/>
              <w:rPr>
                <w:color w:val="000000"/>
                <w:szCs w:val="21"/>
              </w:rPr>
            </w:pPr>
            <w:r>
              <w:rPr>
                <w:color w:val="000000"/>
                <w:szCs w:val="21"/>
              </w:rPr>
              <w:t>预计使用寿命</w:t>
            </w:r>
          </w:p>
        </w:tc>
        <w:tc>
          <w:tcPr>
            <w:tcW w:w="4465" w:type="dxa"/>
            <w:tcBorders>
              <w:top w:val="single" w:color="auto" w:sz="4" w:space="0"/>
              <w:left w:val="single" w:color="auto" w:sz="4" w:space="0"/>
              <w:bottom w:val="single" w:color="auto" w:sz="4" w:space="0"/>
              <w:right w:val="single" w:color="auto" w:sz="4" w:space="0"/>
            </w:tcBorders>
            <w:vAlign w:val="center"/>
          </w:tcPr>
          <w:p w14:paraId="17C6B4C5">
            <w:pPr>
              <w:spacing w:line="276" w:lineRule="auto"/>
              <w:jc w:val="center"/>
              <w:rPr>
                <w:color w:val="000000"/>
                <w:szCs w:val="21"/>
              </w:rPr>
            </w:pPr>
            <w:r>
              <w:rPr>
                <w:color w:val="000000"/>
                <w:szCs w:val="21"/>
              </w:rPr>
              <w:t>20年</w:t>
            </w:r>
          </w:p>
        </w:tc>
      </w:tr>
    </w:tbl>
    <w:p w14:paraId="6C432CCE">
      <w:pPr>
        <w:pStyle w:val="8"/>
        <w:keepNext/>
        <w:ind w:firstLine="0" w:firstLineChars="0"/>
        <w:jc w:val="center"/>
      </w:pPr>
      <w:r>
        <w:drawing>
          <wp:inline distT="0" distB="0" distL="0" distR="0">
            <wp:extent cx="5274310" cy="4077335"/>
            <wp:effectExtent l="0" t="0" r="2540" b="0"/>
            <wp:docPr id="1920440770" name="图片 9"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40770" name="图片 9" descr="图示, 工程绘图&#10;&#10;AI 生成的内容可能不正确。"/>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274310" cy="4077335"/>
                    </a:xfrm>
                    <a:prstGeom prst="rect">
                      <a:avLst/>
                    </a:prstGeom>
                  </pic:spPr>
                </pic:pic>
              </a:graphicData>
            </a:graphic>
          </wp:inline>
        </w:drawing>
      </w:r>
    </w:p>
    <w:p w14:paraId="681AD7AA">
      <w:pPr>
        <w:pStyle w:val="15"/>
        <w:ind w:firstLine="560"/>
        <w:rPr>
          <w:color w:val="000000"/>
        </w:rPr>
      </w:pPr>
      <w:bookmarkStart w:id="627" w:name="_Ref40108690"/>
      <w:bookmarkStart w:id="628" w:name="_Toc39942098"/>
      <w:bookmarkStart w:id="629" w:name="_Toc62148604"/>
      <w:bookmarkStart w:id="630" w:name="_Toc77839696"/>
      <w:bookmarkStart w:id="631" w:name="_Toc94259000"/>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6</w:t>
      </w:r>
      <w:r>
        <w:rPr>
          <w:color w:val="000000"/>
        </w:rPr>
        <w:fldChar w:fldCharType="end"/>
      </w:r>
      <w:bookmarkEnd w:id="627"/>
      <w:r>
        <w:rPr>
          <w:color w:val="000000"/>
        </w:rPr>
        <w:t>质子治疗系统结构示意图</w:t>
      </w:r>
      <w:bookmarkEnd w:id="628"/>
      <w:bookmarkEnd w:id="629"/>
      <w:bookmarkEnd w:id="630"/>
      <w:bookmarkEnd w:id="631"/>
    </w:p>
    <w:p w14:paraId="68D08646">
      <w:pPr>
        <w:pStyle w:val="8"/>
        <w:keepNext/>
        <w:ind w:firstLine="0" w:firstLineChars="0"/>
        <w:jc w:val="center"/>
      </w:pPr>
      <w:r>
        <w:drawing>
          <wp:inline distT="0" distB="0" distL="0" distR="0">
            <wp:extent cx="5274310" cy="2692400"/>
            <wp:effectExtent l="0" t="0" r="2540" b="0"/>
            <wp:docPr id="924896281" name="图片 1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96281" name="图片 10" descr="图示&#10;&#10;AI 生成的内容可能不正确。"/>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274310" cy="2692400"/>
                    </a:xfrm>
                    <a:prstGeom prst="rect">
                      <a:avLst/>
                    </a:prstGeom>
                  </pic:spPr>
                </pic:pic>
              </a:graphicData>
            </a:graphic>
          </wp:inline>
        </w:drawing>
      </w:r>
    </w:p>
    <w:p w14:paraId="22BC0C64">
      <w:pPr>
        <w:pStyle w:val="15"/>
        <w:ind w:firstLine="560"/>
        <w:rPr>
          <w:color w:val="000000"/>
        </w:rPr>
      </w:pPr>
      <w:bookmarkStart w:id="632" w:name="_Ref21875783"/>
      <w:bookmarkStart w:id="633" w:name="_Toc62148605"/>
      <w:bookmarkStart w:id="634" w:name="_Toc77839697"/>
      <w:bookmarkStart w:id="635" w:name="_Toc94259001"/>
      <w:bookmarkStart w:id="636" w:name="_Toc39942099"/>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7</w:t>
      </w:r>
      <w:r>
        <w:rPr>
          <w:color w:val="000000"/>
        </w:rPr>
        <w:fldChar w:fldCharType="end"/>
      </w:r>
      <w:bookmarkEnd w:id="632"/>
      <w:bookmarkStart w:id="637" w:name="_Toc533010710"/>
      <w:r>
        <w:rPr>
          <w:color w:val="000000"/>
        </w:rPr>
        <w:t>质子治疗系统结构组成示意图</w:t>
      </w:r>
      <w:bookmarkEnd w:id="633"/>
      <w:bookmarkEnd w:id="634"/>
      <w:bookmarkEnd w:id="635"/>
      <w:bookmarkEnd w:id="636"/>
      <w:bookmarkEnd w:id="637"/>
    </w:p>
    <w:p w14:paraId="23340D74">
      <w:pPr>
        <w:keepNext/>
        <w:jc w:val="center"/>
        <w:rPr>
          <w:color w:val="000000"/>
        </w:rPr>
      </w:pPr>
      <w:r>
        <w:drawing>
          <wp:inline distT="0" distB="0" distL="0" distR="0">
            <wp:extent cx="5106670" cy="3780790"/>
            <wp:effectExtent l="0" t="0" r="0" b="0"/>
            <wp:docPr id="870831881" name="图片 1" descr="房间的摆设布局&#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31881" name="图片 1" descr="房间的摆设布局&#10;&#10;中度可信度描述已自动生成"/>
                    <pic:cNvPicPr>
                      <a:picLocks noChangeAspect="1"/>
                    </pic:cNvPicPr>
                  </pic:nvPicPr>
                  <pic:blipFill>
                    <a:blip r:embed="rId43"/>
                    <a:stretch>
                      <a:fillRect/>
                    </a:stretch>
                  </pic:blipFill>
                  <pic:spPr>
                    <a:xfrm>
                      <a:off x="0" y="0"/>
                      <a:ext cx="5110447" cy="3783859"/>
                    </a:xfrm>
                    <a:prstGeom prst="rect">
                      <a:avLst/>
                    </a:prstGeom>
                  </pic:spPr>
                </pic:pic>
              </a:graphicData>
            </a:graphic>
          </wp:inline>
        </w:drawing>
      </w:r>
    </w:p>
    <w:p w14:paraId="1EF4ECAA">
      <w:pPr>
        <w:pStyle w:val="15"/>
        <w:ind w:firstLine="560"/>
        <w:rPr>
          <w:color w:val="000000"/>
        </w:rPr>
      </w:pPr>
      <w:bookmarkStart w:id="638" w:name="_Ref21877764"/>
      <w:bookmarkStart w:id="639" w:name="_Toc39942100"/>
      <w:bookmarkStart w:id="640" w:name="_Toc62148606"/>
      <w:bookmarkStart w:id="641" w:name="_Toc94259002"/>
      <w:bookmarkStart w:id="642" w:name="_Toc77839698"/>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8</w:t>
      </w:r>
      <w:r>
        <w:rPr>
          <w:color w:val="000000"/>
        </w:rPr>
        <w:fldChar w:fldCharType="end"/>
      </w:r>
      <w:bookmarkEnd w:id="638"/>
      <w:r>
        <w:rPr>
          <w:color w:val="000000"/>
        </w:rPr>
        <w:t>质子治疗系统机房内部结构示意图</w:t>
      </w:r>
      <w:bookmarkEnd w:id="639"/>
      <w:bookmarkEnd w:id="640"/>
      <w:bookmarkEnd w:id="641"/>
      <w:bookmarkEnd w:id="642"/>
    </w:p>
    <w:p w14:paraId="35280136"/>
    <w:p w14:paraId="5AC34B15">
      <w:pPr>
        <w:pStyle w:val="8"/>
      </w:pPr>
      <w:r>
        <w:rPr>
          <w:lang w:val="en-US"/>
        </w:rPr>
        <w:t>本项目拟建的</w:t>
      </w:r>
      <w:r>
        <w:t>质子治疗机房为地下一层、地上二层结构，包括工作区（</w:t>
      </w:r>
      <w:r>
        <w:fldChar w:fldCharType="begin"/>
      </w:r>
      <w:r>
        <w:instrText xml:space="preserve"> REF _Ref38618443 \h  \* MERGEFORMAT </w:instrText>
      </w:r>
      <w:r>
        <w:fldChar w:fldCharType="separate"/>
      </w:r>
      <w:r>
        <w:t>图 3</w:t>
      </w:r>
      <w:r>
        <w:noBreakHyphen/>
      </w:r>
      <w:r>
        <w:t>9</w:t>
      </w:r>
      <w:r>
        <w:fldChar w:fldCharType="end"/>
      </w:r>
      <w:r>
        <w:t>中绿色区域）和机架运动区两部分（</w:t>
      </w:r>
      <w:r>
        <w:fldChar w:fldCharType="begin"/>
      </w:r>
      <w:r>
        <w:instrText xml:space="preserve"> REF _Ref38618443 \h  \* MERGEFORMAT </w:instrText>
      </w:r>
      <w:r>
        <w:fldChar w:fldCharType="separate"/>
      </w:r>
      <w:r>
        <w:t>图 3</w:t>
      </w:r>
      <w:r>
        <w:noBreakHyphen/>
      </w:r>
      <w:r>
        <w:t>9</w:t>
      </w:r>
      <w:r>
        <w:fldChar w:fldCharType="end"/>
      </w:r>
      <w:r>
        <w:t>中红色区域）。其中机架运动区为上、中、下三层贯通，工作区为三层，其中：</w:t>
      </w:r>
    </w:p>
    <w:p w14:paraId="11245600">
      <w:pPr>
        <w:pStyle w:val="8"/>
      </w:pPr>
      <w:r>
        <w:t>（1）顶层（地上</w:t>
      </w:r>
      <w:r>
        <w:rPr>
          <w:lang w:eastAsia="zh-CN"/>
        </w:rPr>
        <w:t>二</w:t>
      </w:r>
      <w:r>
        <w:t>层）为维修层，设有检修平台，主要用于回旋加速器、旋转机架以及束流</w:t>
      </w:r>
      <w:r>
        <w:rPr>
          <w:lang w:eastAsia="zh-CN"/>
        </w:rPr>
        <w:t>配送</w:t>
      </w:r>
      <w:r>
        <w:t>系统等结构部件的维护维修；</w:t>
      </w:r>
    </w:p>
    <w:p w14:paraId="3A03EAA8">
      <w:pPr>
        <w:pStyle w:val="8"/>
      </w:pPr>
      <w:r>
        <w:t>（2）中间层（地上一层）为治疗层，主要为医生工作和患者治疗区域；</w:t>
      </w:r>
    </w:p>
    <w:p w14:paraId="434E12C3">
      <w:pPr>
        <w:pStyle w:val="8"/>
      </w:pPr>
      <w:r>
        <w:t>（3）底层（地下</w:t>
      </w:r>
      <w:r>
        <w:rPr>
          <w:lang w:eastAsia="zh-CN"/>
        </w:rPr>
        <w:t>一</w:t>
      </w:r>
      <w:r>
        <w:t>层）为设备层，主要放置系统控制柜、电源机柜、冷却水机组等设备。</w:t>
      </w:r>
    </w:p>
    <w:p w14:paraId="2532939D">
      <w:pPr>
        <w:pStyle w:val="8"/>
        <w:keepNext/>
        <w:ind w:firstLine="0" w:firstLineChars="0"/>
        <w:jc w:val="center"/>
      </w:pPr>
      <w:r>
        <w:drawing>
          <wp:inline distT="0" distB="0" distL="0" distR="0">
            <wp:extent cx="4277360" cy="3478530"/>
            <wp:effectExtent l="0" t="0" r="8890" b="7620"/>
            <wp:docPr id="2039315387"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15387" name="图片 1" descr="图示&#10;&#10;AI 生成的内容可能不正确。"/>
                    <pic:cNvPicPr>
                      <a:picLocks noChangeAspect="1"/>
                    </pic:cNvPicPr>
                  </pic:nvPicPr>
                  <pic:blipFill>
                    <a:blip r:embed="rId44"/>
                    <a:stretch>
                      <a:fillRect/>
                    </a:stretch>
                  </pic:blipFill>
                  <pic:spPr>
                    <a:xfrm>
                      <a:off x="0" y="0"/>
                      <a:ext cx="4285218" cy="3484772"/>
                    </a:xfrm>
                    <a:prstGeom prst="rect">
                      <a:avLst/>
                    </a:prstGeom>
                  </pic:spPr>
                </pic:pic>
              </a:graphicData>
            </a:graphic>
          </wp:inline>
        </w:drawing>
      </w:r>
    </w:p>
    <w:p w14:paraId="2055C089">
      <w:pPr>
        <w:pStyle w:val="15"/>
        <w:ind w:firstLine="560"/>
        <w:rPr>
          <w:color w:val="000000"/>
        </w:rPr>
      </w:pPr>
      <w:bookmarkStart w:id="643" w:name="_Ref38618443"/>
      <w:bookmarkStart w:id="644" w:name="_Toc39942103"/>
      <w:bookmarkStart w:id="645" w:name="_Toc77839700"/>
      <w:bookmarkStart w:id="646" w:name="_Toc62148608"/>
      <w:bookmarkStart w:id="647" w:name="_Toc94259003"/>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9</w:t>
      </w:r>
      <w:r>
        <w:rPr>
          <w:color w:val="000000"/>
        </w:rPr>
        <w:fldChar w:fldCharType="end"/>
      </w:r>
      <w:bookmarkEnd w:id="643"/>
      <w:r>
        <w:rPr>
          <w:color w:val="000000"/>
        </w:rPr>
        <w:t xml:space="preserve"> 质子治疗机房剖面示意图</w:t>
      </w:r>
      <w:bookmarkEnd w:id="644"/>
      <w:bookmarkEnd w:id="645"/>
      <w:bookmarkEnd w:id="646"/>
      <w:bookmarkEnd w:id="647"/>
    </w:p>
    <w:bookmarkEnd w:id="619"/>
    <w:p w14:paraId="14C7FAB9">
      <w:pPr>
        <w:pStyle w:val="187"/>
      </w:pPr>
      <w:r>
        <w:rPr>
          <w:lang w:eastAsia="zh-CN"/>
        </w:rPr>
        <w:t>工作原理</w:t>
      </w:r>
    </w:p>
    <w:p w14:paraId="56EA5276">
      <w:pPr>
        <w:pStyle w:val="6"/>
        <w:rPr>
          <w:lang w:bidi="en-US"/>
        </w:rPr>
      </w:pPr>
      <w:bookmarkStart w:id="648" w:name="_Hlk176356869"/>
      <w:r>
        <w:rPr>
          <w:lang w:eastAsia="zh-CN" w:bidi="en-US"/>
        </w:rPr>
        <w:t>束流发生系统</w:t>
      </w:r>
    </w:p>
    <w:p w14:paraId="766A6F1A">
      <w:pPr>
        <w:pStyle w:val="8"/>
        <w:rPr>
          <w:lang w:val="en-US" w:eastAsia="zh-CN"/>
        </w:rPr>
      </w:pPr>
      <w:r>
        <w:rPr>
          <w:lang w:val="en-US"/>
        </w:rPr>
        <w:t>束流发生系统是质子治疗系统的核心部件，主要由一台超导回旋加速器</w:t>
      </w:r>
      <w:r>
        <w:rPr>
          <w:lang w:val="en-US" w:eastAsia="zh-CN"/>
        </w:rPr>
        <w:t>（</w:t>
      </w:r>
      <w:r>
        <w:rPr>
          <w:lang w:val="en-US"/>
        </w:rPr>
        <w:t>同步</w:t>
      </w:r>
      <w:r>
        <w:rPr>
          <w:lang w:val="en-US" w:eastAsia="zh-CN"/>
        </w:rPr>
        <w:t>）</w:t>
      </w:r>
      <w:r>
        <w:rPr>
          <w:lang w:val="en-US"/>
        </w:rPr>
        <w:t>及其结构支撑旋转机架组成，加速器安装于旋转机架上</w:t>
      </w:r>
      <w:r>
        <w:t>。</w:t>
      </w:r>
      <w:r>
        <w:rPr>
          <w:lang w:val="en-US"/>
        </w:rPr>
        <w:t>回旋加速器由</w:t>
      </w:r>
      <w:r>
        <w:t>磁铁、离子源、射频系统、束流引出系统和真空系统组成</w:t>
      </w:r>
      <w:r>
        <w:rPr>
          <w:lang w:val="en-US"/>
        </w:rPr>
        <w:t>。</w:t>
      </w:r>
    </w:p>
    <w:p w14:paraId="6C352A69">
      <w:pPr>
        <w:pStyle w:val="8"/>
      </w:pPr>
      <w:r>
        <w:rPr>
          <w:lang w:val="en-US"/>
        </w:rPr>
        <w:t>两个离子源经两个磁极插入加速器，在加速器内将氢气进行游离，成为氢离子，即一个带正电的质子。在两个实心磁极中间安装有两个D形真空盒，盒内抽真空。质子在D形盒内旋转，每次通过D形真空盒间隙时，因间隙上的高频电压而获得加速，能量增加，旋转半径也随之增加。当质子多次通过高频间隙，能量不断增加，一直加速到最高能量230MeV时也对应旋转到最外面一圈，再利用磁和电偏转将质子束从加速器引出。同步回旋加速器与普通等时回旋加速器的区别在于采用了调频技术，即在质子加速的过程中，加速电场的射频频率随质子回旋的频率同步下降，以保持谐振加速。而普通等时回旋加速器不改变电场射频频率，仅改变磁场大小。</w:t>
      </w:r>
    </w:p>
    <w:p w14:paraId="4EA8E29F">
      <w:pPr>
        <w:pStyle w:val="8"/>
        <w:keepNext/>
        <w:ind w:firstLine="0" w:firstLineChars="0"/>
        <w:jc w:val="center"/>
      </w:pPr>
      <w:r>
        <w:drawing>
          <wp:inline distT="0" distB="0" distL="0" distR="0">
            <wp:extent cx="5274310" cy="4394200"/>
            <wp:effectExtent l="0" t="0" r="2540" b="6350"/>
            <wp:docPr id="817088111" name="图片 11"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88111" name="图片 11" descr="图示, 工程绘图&#10;&#10;AI 生成的内容可能不正确。"/>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274310" cy="4394200"/>
                    </a:xfrm>
                    <a:prstGeom prst="rect">
                      <a:avLst/>
                    </a:prstGeom>
                  </pic:spPr>
                </pic:pic>
              </a:graphicData>
            </a:graphic>
          </wp:inline>
        </w:drawing>
      </w:r>
    </w:p>
    <w:p w14:paraId="400ADDEE">
      <w:pPr>
        <w:pStyle w:val="15"/>
        <w:ind w:firstLine="560"/>
        <w:rPr>
          <w:color w:val="000000"/>
        </w:rPr>
      </w:pPr>
      <w:bookmarkStart w:id="649" w:name="_Ref21878945"/>
      <w:bookmarkStart w:id="650" w:name="_Toc62148609"/>
      <w:bookmarkStart w:id="651" w:name="_Toc77839701"/>
      <w:bookmarkStart w:id="652" w:name="_Toc94259004"/>
      <w:bookmarkStart w:id="653" w:name="_Toc39942104"/>
      <w:bookmarkStart w:id="654" w:name="OLE_LINK4"/>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10</w:t>
      </w:r>
      <w:r>
        <w:rPr>
          <w:color w:val="000000"/>
        </w:rPr>
        <w:fldChar w:fldCharType="end"/>
      </w:r>
      <w:bookmarkEnd w:id="649"/>
      <w:r>
        <w:rPr>
          <w:color w:val="000000"/>
        </w:rPr>
        <w:t>质子加速器位置示意图</w:t>
      </w:r>
      <w:bookmarkEnd w:id="650"/>
      <w:bookmarkEnd w:id="651"/>
      <w:bookmarkEnd w:id="652"/>
      <w:bookmarkEnd w:id="653"/>
    </w:p>
    <w:bookmarkEnd w:id="654"/>
    <w:p w14:paraId="7BF0CA13">
      <w:pPr>
        <w:jc w:val="center"/>
      </w:pPr>
      <w:r>
        <w:drawing>
          <wp:inline distT="0" distB="0" distL="0" distR="0">
            <wp:extent cx="5274310" cy="4450715"/>
            <wp:effectExtent l="0" t="0" r="2540" b="6985"/>
            <wp:docPr id="790665872" name="图片 12"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65872" name="图片 12" descr="图示, 示意图&#10;&#10;AI 生成的内容可能不正确。"/>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274310" cy="4450715"/>
                    </a:xfrm>
                    <a:prstGeom prst="rect">
                      <a:avLst/>
                    </a:prstGeom>
                  </pic:spPr>
                </pic:pic>
              </a:graphicData>
            </a:graphic>
          </wp:inline>
        </w:drawing>
      </w:r>
    </w:p>
    <w:p w14:paraId="5F853A34">
      <w:pPr>
        <w:pStyle w:val="15"/>
        <w:ind w:firstLine="560"/>
        <w:rPr>
          <w:color w:val="000000"/>
        </w:rPr>
      </w:pPr>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11</w:t>
      </w:r>
      <w:r>
        <w:rPr>
          <w:color w:val="000000"/>
        </w:rPr>
        <w:fldChar w:fldCharType="end"/>
      </w:r>
      <w:r>
        <w:rPr>
          <w:color w:val="000000"/>
        </w:rPr>
        <w:t>回旋加速器束流产生示意图</w:t>
      </w:r>
    </w:p>
    <w:p w14:paraId="1516CE1C">
      <w:pPr>
        <w:jc w:val="center"/>
      </w:pPr>
    </w:p>
    <w:p w14:paraId="26EDCD42">
      <w:pPr>
        <w:pStyle w:val="6"/>
      </w:pPr>
      <w:r>
        <w:rPr>
          <w:lang w:eastAsia="zh-CN"/>
        </w:rPr>
        <w:t>束流配送系统</w:t>
      </w:r>
    </w:p>
    <w:p w14:paraId="0BE82297">
      <w:pPr>
        <w:pStyle w:val="8"/>
        <w:rPr>
          <w:lang w:val="en-US" w:eastAsia="zh-CN"/>
        </w:rPr>
      </w:pPr>
      <w:r>
        <w:t>束流</w:t>
      </w:r>
      <w:r>
        <w:rPr>
          <w:lang w:eastAsia="zh-CN"/>
        </w:rPr>
        <w:t>配送</w:t>
      </w:r>
      <w:r>
        <w:t>系统包括束流射程调节系统</w:t>
      </w:r>
      <w:r>
        <w:rPr>
          <w:lang w:eastAsia="zh-CN"/>
        </w:rPr>
        <w:t>和</w:t>
      </w:r>
      <w:r>
        <w:t>治疗头，如</w:t>
      </w:r>
      <w:r>
        <w:fldChar w:fldCharType="begin"/>
      </w:r>
      <w:r>
        <w:instrText xml:space="preserve"> REF _Ref38618965 \h  \* MERGEFORMAT </w:instrText>
      </w:r>
      <w:r>
        <w:fldChar w:fldCharType="separate"/>
      </w:r>
      <w:r>
        <w:t>图 3</w:t>
      </w:r>
      <w:r>
        <w:noBreakHyphen/>
      </w:r>
      <w:r>
        <w:t>12</w:t>
      </w:r>
      <w:r>
        <w:fldChar w:fldCharType="end"/>
      </w:r>
      <w:r>
        <w:t>所示。</w:t>
      </w:r>
      <w:r>
        <w:rPr>
          <w:lang w:val="en-US"/>
        </w:rPr>
        <w:t>质子治疗时要根据肿瘤本身深度和厚度选用不同能量的质子，由于回旋加速器引出的质子能量是固定的，因此在回旋加速器和治疗头之间设有一个束流射程调节系统，该系统主要由扫描磁体、射程调节器、自适应</w:t>
      </w:r>
      <w:r>
        <w:rPr>
          <w:lang w:val="en-US" w:eastAsia="zh-CN"/>
        </w:rPr>
        <w:t>光栅</w:t>
      </w:r>
      <w:r>
        <w:rPr>
          <w:lang w:val="en-US"/>
        </w:rPr>
        <w:t>组成。其中，扫描磁铁用于进行对束流进行线性扫描，X</w:t>
      </w:r>
      <w:r>
        <w:rPr>
          <w:lang w:val="en-US" w:eastAsia="zh-CN"/>
        </w:rPr>
        <w:t>/</w:t>
      </w:r>
      <w:r>
        <w:rPr>
          <w:lang w:val="en-US"/>
        </w:rPr>
        <w:t>Y方向进行控制。射程调节器由一组间隔紧密的</w:t>
      </w:r>
      <w:r>
        <w:rPr>
          <w:lang w:val="en-US" w:eastAsia="zh-CN"/>
        </w:rPr>
        <w:t>碳化硼和</w:t>
      </w:r>
      <w:r>
        <w:rPr>
          <w:lang w:val="en-US"/>
        </w:rPr>
        <w:t>聚碳酸酯平板组成，如</w:t>
      </w:r>
      <w:r>
        <w:rPr>
          <w:lang w:val="en-US" w:eastAsia="zh-CN"/>
        </w:rPr>
        <w:t>图3-10</w:t>
      </w:r>
      <w:r>
        <w:rPr>
          <w:lang w:val="en-US"/>
        </w:rPr>
        <w:t>所示。</w:t>
      </w:r>
    </w:p>
    <w:p w14:paraId="6383A484">
      <w:pPr>
        <w:pStyle w:val="8"/>
        <w:rPr>
          <w:lang w:val="en-US"/>
        </w:rPr>
      </w:pPr>
      <w:r>
        <w:rPr>
          <w:lang w:val="en-US" w:eastAsia="zh-CN"/>
        </w:rPr>
        <w:t>碳化硼和</w:t>
      </w:r>
      <w:r>
        <w:rPr>
          <w:lang w:val="en-US"/>
        </w:rPr>
        <w:t>聚碳酸酯具有耐久性、低散射效率和高传输效率等特点，</w:t>
      </w:r>
      <w:r>
        <w:rPr>
          <w:lang w:val="en-US" w:eastAsia="zh-CN"/>
        </w:rPr>
        <w:t>以便在连续层扫描束流时逐步改变束流的能量。自适应光栅用于修饰靶区边缘</w:t>
      </w:r>
      <w:r>
        <w:rPr>
          <w:lang w:val="en-US"/>
        </w:rPr>
        <w:t>，由一组</w:t>
      </w:r>
      <w:r>
        <w:rPr>
          <w:lang w:val="en-US" w:eastAsia="zh-CN"/>
        </w:rPr>
        <w:t>10cm厚</w:t>
      </w:r>
      <w:r>
        <w:rPr>
          <w:lang w:val="en-US"/>
        </w:rPr>
        <w:t>镍质叶片组成，如</w:t>
      </w:r>
      <w:r>
        <w:rPr>
          <w:lang w:val="en-US" w:eastAsia="zh-CN"/>
        </w:rPr>
        <w:t>图3-11</w:t>
      </w:r>
      <w:r>
        <w:rPr>
          <w:lang w:val="en-US"/>
        </w:rPr>
        <w:t>所示。</w:t>
      </w:r>
      <w:r>
        <w:rPr>
          <w:lang w:val="en-US" w:eastAsia="zh-CN"/>
        </w:rPr>
        <w:t>它</w:t>
      </w:r>
      <w:r>
        <w:rPr>
          <w:lang w:val="en-US"/>
        </w:rPr>
        <w:t>位于整个射程调节系统的后端，使得其与目标体积之间的距离最小化，从而保留锐利的横向侧半影。</w:t>
      </w:r>
    </w:p>
    <w:p w14:paraId="4C4B357E">
      <w:pPr>
        <w:pStyle w:val="15"/>
        <w:ind w:right="0"/>
        <w:rPr>
          <w:color w:val="000000"/>
        </w:rPr>
      </w:pPr>
      <w:bookmarkStart w:id="655" w:name="_Ref21880308"/>
      <w:r>
        <w:rPr>
          <w:color w:val="000000"/>
        </w:rPr>
        <w:drawing>
          <wp:inline distT="0" distB="0" distL="0" distR="0">
            <wp:extent cx="5274310" cy="3038475"/>
            <wp:effectExtent l="0" t="0" r="2540" b="9525"/>
            <wp:docPr id="25762788" name="图片 13" descr="乐高玩具&#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2788" name="图片 13" descr="乐高玩具&#10;&#10;AI 生成的内容可能不正确。"/>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274310" cy="3038475"/>
                    </a:xfrm>
                    <a:prstGeom prst="rect">
                      <a:avLst/>
                    </a:prstGeom>
                  </pic:spPr>
                </pic:pic>
              </a:graphicData>
            </a:graphic>
          </wp:inline>
        </w:drawing>
      </w:r>
    </w:p>
    <w:p w14:paraId="7C4FFEEF">
      <w:pPr>
        <w:pStyle w:val="15"/>
        <w:ind w:firstLine="560"/>
        <w:rPr>
          <w:color w:val="000000"/>
        </w:rPr>
      </w:pPr>
      <w:bookmarkStart w:id="656" w:name="_Ref38618965"/>
      <w:bookmarkStart w:id="657" w:name="_Toc39942105"/>
      <w:bookmarkStart w:id="658" w:name="_Toc62148610"/>
      <w:bookmarkStart w:id="659" w:name="_Toc77839702"/>
      <w:bookmarkStart w:id="660" w:name="_Toc94259006"/>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12</w:t>
      </w:r>
      <w:r>
        <w:rPr>
          <w:color w:val="000000"/>
        </w:rPr>
        <w:fldChar w:fldCharType="end"/>
      </w:r>
      <w:bookmarkEnd w:id="655"/>
      <w:bookmarkEnd w:id="656"/>
      <w:r>
        <w:rPr>
          <w:color w:val="000000"/>
        </w:rPr>
        <w:t xml:space="preserve"> 束流配送系统结构示意图</w:t>
      </w:r>
      <w:bookmarkEnd w:id="657"/>
      <w:bookmarkEnd w:id="658"/>
      <w:bookmarkEnd w:id="659"/>
      <w:bookmarkEnd w:id="660"/>
    </w:p>
    <w:p w14:paraId="23F400B3">
      <w:pPr>
        <w:pStyle w:val="8"/>
        <w:keepNext/>
        <w:ind w:firstLine="0" w:firstLineChars="0"/>
        <w:jc w:val="center"/>
      </w:pPr>
      <w:r>
        <w:drawing>
          <wp:inline distT="0" distB="0" distL="0" distR="0">
            <wp:extent cx="5274310" cy="3747770"/>
            <wp:effectExtent l="0" t="0" r="2540" b="5080"/>
            <wp:docPr id="1480637199" name="图片 14" descr="图片包含 玩具, 乐高, 卡车, 桌子&#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637199" name="图片 14" descr="图片包含 玩具, 乐高, 卡车, 桌子&#10;&#10;AI 生成的内容可能不正确。"/>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274310" cy="3747770"/>
                    </a:xfrm>
                    <a:prstGeom prst="rect">
                      <a:avLst/>
                    </a:prstGeom>
                  </pic:spPr>
                </pic:pic>
              </a:graphicData>
            </a:graphic>
          </wp:inline>
        </w:drawing>
      </w:r>
    </w:p>
    <w:p w14:paraId="62CB9FD4">
      <w:pPr>
        <w:pStyle w:val="15"/>
        <w:ind w:firstLine="723" w:firstLineChars="300"/>
        <w:jc w:val="both"/>
        <w:rPr>
          <w:color w:val="000000"/>
        </w:rPr>
      </w:pPr>
      <w:bookmarkStart w:id="661" w:name="_Ref38618975"/>
      <w:bookmarkStart w:id="662" w:name="_Toc39942106"/>
      <w:bookmarkStart w:id="663" w:name="_Ref21881741"/>
      <w:bookmarkStart w:id="664" w:name="_Toc62148611"/>
      <w:bookmarkStart w:id="665" w:name="_Toc77839703"/>
      <w:bookmarkStart w:id="666" w:name="_Toc94259007"/>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13</w:t>
      </w:r>
      <w:r>
        <w:rPr>
          <w:color w:val="000000"/>
        </w:rPr>
        <w:fldChar w:fldCharType="end"/>
      </w:r>
      <w:bookmarkEnd w:id="661"/>
      <w:r>
        <w:rPr>
          <w:color w:val="000000"/>
        </w:rPr>
        <w:t xml:space="preserve">射程调节器示意图       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14</w:t>
      </w:r>
      <w:r>
        <w:rPr>
          <w:color w:val="000000"/>
        </w:rPr>
        <w:fldChar w:fldCharType="end"/>
      </w:r>
      <w:r>
        <w:rPr>
          <w:color w:val="000000"/>
        </w:rPr>
        <w:t xml:space="preserve"> 自适应光栅示意图</w:t>
      </w:r>
      <w:bookmarkEnd w:id="662"/>
      <w:bookmarkEnd w:id="663"/>
      <w:bookmarkEnd w:id="664"/>
      <w:bookmarkEnd w:id="665"/>
      <w:bookmarkEnd w:id="666"/>
    </w:p>
    <w:p w14:paraId="38BF68D3">
      <w:pPr>
        <w:pStyle w:val="6"/>
      </w:pPr>
      <w:r>
        <w:rPr>
          <w:lang w:eastAsia="zh-CN"/>
        </w:rPr>
        <w:t>患者定位系统</w:t>
      </w:r>
    </w:p>
    <w:p w14:paraId="22253435">
      <w:pPr>
        <w:pStyle w:val="8"/>
      </w:pPr>
      <w:r>
        <w:t>患者定位系统为患者治疗提供物理支撑，并允许基于在治疗之前获得的图像将患者移动到适当的位置进行治疗。主要包括六自由度治疗床和2D/3D成像系统。患者定位系统基于在治疗室中获取的2D X射线或3D CT图像与为治疗计划获取的图像进行比较来帮助临床医生确定患者在治疗室中的正确位置。</w:t>
      </w:r>
    </w:p>
    <w:p w14:paraId="085088A9">
      <w:pPr>
        <w:pStyle w:val="8"/>
      </w:pPr>
      <w:r>
        <w:t>2D成像系统由X射线</w:t>
      </w:r>
      <w:r>
        <w:rPr>
          <w:lang w:eastAsia="zh-CN"/>
        </w:rPr>
        <w:t>源</w:t>
      </w:r>
      <w:r>
        <w:t>、X射线面板组件组成。每套质子治疗系统配备两个X射线管，用于从不同角度对患者进行定位，分别位于</w:t>
      </w:r>
      <w:r>
        <w:rPr>
          <w:lang w:eastAsia="zh-CN"/>
        </w:rPr>
        <w:t>治疗床左右两侧地板下方</w:t>
      </w:r>
      <w:r>
        <w:t>，如</w:t>
      </w:r>
      <w:r>
        <w:fldChar w:fldCharType="begin"/>
      </w:r>
      <w:r>
        <w:instrText xml:space="preserve"> REF _Ref33024356 \h  \* MERGEFORMAT </w:instrText>
      </w:r>
      <w:r>
        <w:fldChar w:fldCharType="separate"/>
      </w:r>
      <w:r>
        <w:t>图 3</w:t>
      </w:r>
      <w:r>
        <w:noBreakHyphen/>
      </w:r>
      <w:r>
        <w:t>15</w:t>
      </w:r>
      <w:r>
        <w:fldChar w:fldCharType="end"/>
      </w:r>
      <w:r>
        <w:t>所示。每个X射线管的最大管电压150kV，最大管电流为1000mA。由高压发生器提供高压电源到X射线管上，X射线管发出X射线到接收器上形成图像，最后在治疗控制系统内进行图像处理，使其满足放疗中图像使用的要求。医生可以通过自动或手动调整两个正交图像集的配准来计算精确对准患者进行治疗所需的治疗床位置的调整位移。</w:t>
      </w:r>
    </w:p>
    <w:p w14:paraId="14975FBD">
      <w:pPr>
        <w:pStyle w:val="8"/>
      </w:pPr>
      <w:r>
        <w:t>3D成像系统包括一台</w:t>
      </w:r>
      <w:r>
        <w:rPr>
          <w:lang w:eastAsia="zh-CN"/>
        </w:rPr>
        <w:t>滑轨</w:t>
      </w:r>
      <w:r>
        <w:t>CT机和光学跟踪系统，通过3D成像</w:t>
      </w:r>
      <w:r>
        <w:rPr>
          <w:lang w:eastAsia="zh-CN"/>
        </w:rPr>
        <w:t>提供患者定位，用于对患者进行治疗前的精准定位</w:t>
      </w:r>
      <w:r>
        <w:t>。CT机的最大管电压为140kV，最大管电流为660mA，与2D系统类似，室内3D图像被传输到治疗控制系统进行处理。</w:t>
      </w:r>
    </w:p>
    <w:p w14:paraId="0E408CD0">
      <w:pPr>
        <w:pStyle w:val="8"/>
      </w:pPr>
      <w:r>
        <w:rPr>
          <w:lang w:eastAsia="zh-CN"/>
        </w:rPr>
        <w:t>在质子治疗机房治疗层的控制室和X射线影像亭</w:t>
      </w:r>
      <w:bookmarkStart w:id="667" w:name="_Hlk205041165"/>
      <w:r>
        <w:rPr>
          <w:lang w:eastAsia="zh-CN"/>
        </w:rPr>
        <w:t>均设置有X射线管和滑轨CT的操作台</w:t>
      </w:r>
      <w:bookmarkEnd w:id="667"/>
      <w:r>
        <w:rPr>
          <w:lang w:eastAsia="zh-CN"/>
        </w:rPr>
        <w:t>，</w:t>
      </w:r>
      <w:r>
        <w:t>位置如</w:t>
      </w:r>
      <w:r>
        <w:fldChar w:fldCharType="begin"/>
      </w:r>
      <w:r>
        <w:instrText xml:space="preserve"> REF _Ref42960046 \h  \* MERGEFORMAT </w:instrText>
      </w:r>
      <w:r>
        <w:fldChar w:fldCharType="separate"/>
      </w:r>
      <w:r>
        <w:t>图 3</w:t>
      </w:r>
      <w:r>
        <w:noBreakHyphen/>
      </w:r>
      <w:r>
        <w:t>16</w:t>
      </w:r>
      <w:r>
        <w:fldChar w:fldCharType="end"/>
      </w:r>
      <w:r>
        <w:rPr>
          <w:rFonts w:hint="eastAsia"/>
          <w:lang w:eastAsia="zh-CN"/>
        </w:rPr>
        <w:t>红色方框</w:t>
      </w:r>
      <w:r>
        <w:t>所示，</w:t>
      </w:r>
      <w:r>
        <w:rPr>
          <w:lang w:eastAsia="zh-CN"/>
        </w:rPr>
        <w:t>控制室的位置避开了束流直接照射的方向，</w:t>
      </w:r>
      <w:bookmarkStart w:id="668" w:name="_Hlk205041279"/>
      <w:r>
        <w:rPr>
          <w:rFonts w:hint="eastAsia"/>
          <w:lang w:eastAsia="zh-CN"/>
        </w:rPr>
        <w:t>控制室</w:t>
      </w:r>
      <w:r>
        <w:rPr>
          <w:lang w:eastAsia="zh-CN"/>
        </w:rPr>
        <w:t>墙体</w:t>
      </w:r>
      <w:r>
        <w:t>屏蔽</w:t>
      </w:r>
      <w:r>
        <w:rPr>
          <w:lang w:eastAsia="zh-CN"/>
        </w:rPr>
        <w:t>采用不</w:t>
      </w:r>
      <w:r>
        <w:t>低于</w:t>
      </w:r>
      <w:r>
        <w:rPr>
          <w:lang w:eastAsia="zh-CN"/>
        </w:rPr>
        <w:t>4</w:t>
      </w:r>
      <w:r>
        <w:t>mm</w:t>
      </w:r>
      <w:r>
        <w:rPr>
          <w:lang w:eastAsia="zh-CN"/>
        </w:rPr>
        <w:t>的</w:t>
      </w:r>
      <w:r>
        <w:t>铅</w:t>
      </w:r>
      <w:r>
        <w:rPr>
          <w:lang w:eastAsia="zh-CN"/>
        </w:rPr>
        <w:t>当量</w:t>
      </w:r>
      <w:bookmarkEnd w:id="668"/>
      <w:r>
        <w:rPr>
          <w:lang w:eastAsia="zh-CN"/>
        </w:rPr>
        <w:t>，影像亭内也考虑了屏蔽设计，以确保出束期间，剂量率水平低于2.5μSv/h</w:t>
      </w:r>
      <w:r>
        <w:t>。</w:t>
      </w:r>
    </w:p>
    <w:p w14:paraId="5D66AF0C">
      <w:pPr>
        <w:pStyle w:val="8"/>
        <w:keepNext/>
        <w:ind w:firstLine="0" w:firstLineChars="0"/>
        <w:jc w:val="center"/>
        <w:rPr>
          <w:lang w:val="en-US"/>
        </w:rPr>
      </w:pPr>
      <w:r>
        <w:rPr>
          <w:lang w:val="en-US"/>
        </w:rPr>
        <w:drawing>
          <wp:inline distT="0" distB="0" distL="0" distR="0">
            <wp:extent cx="4245610" cy="3181350"/>
            <wp:effectExtent l="0" t="0" r="2540" b="0"/>
            <wp:docPr id="959876277" name="图片 1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76277" name="图片 15" descr="图示&#10;&#10;AI 生成的内容可能不正确。"/>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251474" cy="3185790"/>
                    </a:xfrm>
                    <a:prstGeom prst="rect">
                      <a:avLst/>
                    </a:prstGeom>
                  </pic:spPr>
                </pic:pic>
              </a:graphicData>
            </a:graphic>
          </wp:inline>
        </w:drawing>
      </w:r>
    </w:p>
    <w:p w14:paraId="475654FF">
      <w:pPr>
        <w:pStyle w:val="15"/>
        <w:ind w:firstLine="560"/>
        <w:rPr>
          <w:color w:val="000000"/>
        </w:rPr>
      </w:pPr>
      <w:bookmarkStart w:id="669" w:name="_Ref33024356"/>
      <w:bookmarkStart w:id="670" w:name="_Toc39942107"/>
      <w:bookmarkStart w:id="671" w:name="_Toc77839704"/>
      <w:bookmarkStart w:id="672" w:name="_Toc62148612"/>
      <w:bookmarkStart w:id="673" w:name="_Toc94259008"/>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15</w:t>
      </w:r>
      <w:r>
        <w:rPr>
          <w:color w:val="000000"/>
        </w:rPr>
        <w:fldChar w:fldCharType="end"/>
      </w:r>
      <w:bookmarkEnd w:id="669"/>
      <w:r>
        <w:rPr>
          <w:color w:val="000000"/>
        </w:rPr>
        <w:t xml:space="preserve"> 患者定位系统结构组成图</w:t>
      </w:r>
      <w:bookmarkEnd w:id="670"/>
      <w:bookmarkEnd w:id="671"/>
      <w:bookmarkEnd w:id="672"/>
      <w:bookmarkEnd w:id="673"/>
    </w:p>
    <w:p w14:paraId="56079B38">
      <w:pPr>
        <w:keepNext/>
        <w:jc w:val="center"/>
        <w:rPr>
          <w:color w:val="000000"/>
        </w:rPr>
      </w:pPr>
      <w:r>
        <w:rPr>
          <w:color w:val="000000"/>
        </w:rPr>
        <mc:AlternateContent>
          <mc:Choice Requires="wps">
            <w:drawing>
              <wp:anchor distT="45720" distB="45720" distL="114300" distR="114300" simplePos="0" relativeHeight="251667456" behindDoc="0" locked="0" layoutInCell="1" allowOverlap="1">
                <wp:simplePos x="0" y="0"/>
                <wp:positionH relativeFrom="column">
                  <wp:posOffset>1719580</wp:posOffset>
                </wp:positionH>
                <wp:positionV relativeFrom="paragraph">
                  <wp:posOffset>1216660</wp:posOffset>
                </wp:positionV>
                <wp:extent cx="1257300" cy="1404620"/>
                <wp:effectExtent l="0" t="0" r="0" b="6350"/>
                <wp:wrapNone/>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57300" cy="1404620"/>
                        </a:xfrm>
                        <a:prstGeom prst="rect">
                          <a:avLst/>
                        </a:prstGeom>
                        <a:noFill/>
                        <a:ln w="9525">
                          <a:noFill/>
                          <a:miter lim="800000"/>
                        </a:ln>
                      </wps:spPr>
                      <wps:txbx>
                        <w:txbxContent>
                          <w:p w14:paraId="59E33B12">
                            <w:pPr>
                              <w:rPr>
                                <w:b/>
                                <w:bCs/>
                                <w:color w:val="EE0000"/>
                                <w:sz w:val="24"/>
                                <w:szCs w:val="32"/>
                              </w:rPr>
                            </w:pPr>
                            <w:r>
                              <w:rPr>
                                <w:rFonts w:hint="eastAsia"/>
                                <w:b/>
                                <w:bCs/>
                                <w:color w:val="EE0000"/>
                                <w:sz w:val="24"/>
                                <w:szCs w:val="32"/>
                              </w:rPr>
                              <w:t>X射线影像亭</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35.4pt;margin-top:95.8pt;height:110.6pt;width:99pt;z-index:251667456;mso-width-relative:page;mso-height-relative:margin;mso-height-percent:200;" filled="f" stroked="f" coordsize="21600,21600" o:gfxdata="UEsDBAoAAAAAAIdO4kAAAAAAAAAAAAAAAAAEAAAAZHJzL1BLAwQUAAAACACHTuJAHWqWOtgAAAAL&#10;AQAADwAAAGRycy9kb3ducmV2LnhtbE2PwU7DMBBE70j8g7VI3KidCKUhjVMh1JYjUCLObuwmEfHa&#10;st20/D3Lid52d0azb+r1xU5sNiGODiVkCwHMYOf0iL2E9nP7UAKLSaFWk0Mj4cdEWDe3N7WqtDvj&#10;h5n3qWcUgrFSEoaUfMV57AZjVVw4b5C0owtWJVpDz3VQZwq3E8+FKLhVI9KHQXnzMpjue3+yEnzy&#10;u+VreHt/3mxn0X7t2nzsN1Le32ViBSyZS/o3wx8+oUNDTAd3Qh3ZJCFfCkJPJDxlBTByPBYlXQ40&#10;ZHkJvKn5dYfmF1BLAwQUAAAACACHTuJAybmfxicCAAAsBAAADgAAAGRycy9lMm9Eb2MueG1srVNL&#10;btswEN0X6B0I7mt9aseJYDlIY7gokH6AtAegKcoiKnJYkrbkHqC9QVfddN9z+RwdUoprpJssqgVB&#10;ajhv5r15XFz3qiV7YZ0EXdJsklIiNIdK6m1JP31cv7ikxHmmK9aCFiU9CEevl8+fLTpTiBwaaCth&#10;CYJoV3SmpI33pkgSxxuhmJuAERqDNVjFPB7tNqks6xBdtUmephdJB7YyFrhwDv+uhiAdEe1TAKGu&#10;JRcr4DsltB9QrWiZR0qukcbRZey2rgX37+vaCU/akiJTH1csgvtNWJPlghVby0wj+dgCe0oLjzgp&#10;JjUWPUGtmGdkZ+U/UEpyCw5qP+GgkoFIVARZZOkjbe4bZkTkglI7cxLd/T9Y/m7/wRJZlTTP5pRo&#10;pnDkxx/fjz9/H399I3kQqDOuwHv3Bm/6/hX0aJtI1pk74J8d0XDbML0VN9ZC1whWYYNZyEzOUgcc&#10;F0A23VuosA7beYhAfW1VUA/1IIiOwzmchiN6T3gomc/mL1MMcYxl03R6kcfxJax4SDfW+dcCFAmb&#10;klqcfoRn+zvnQzuseLgSqmlYy7aNDmg16Up6NctnMeEsoqRHu7dSlfQyDV/kxYpWj/QCo4Gb7zf9&#10;KNcGqgMStTAYDp8bbhqwXynp0GwldV92zApK2jcaxbrKptPgzniYzubIjNjzyOY8wjRHqJJ6Sobt&#10;rY+ODpycuUFR1zLSDeoPnYy9oomiCqPhg0vPz/HW30e+/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dapY62AAAAAsBAAAPAAAAAAAAAAEAIAAAACIAAABkcnMvZG93bnJldi54bWxQSwECFAAUAAAA&#10;CACHTuJAybmfxicCAAAsBAAADgAAAAAAAAABACAAAAAnAQAAZHJzL2Uyb0RvYy54bWxQSwUGAAAA&#10;AAYABgBZAQAAwAUAAAAA&#10;">
                <v:fill on="f" focussize="0,0"/>
                <v:stroke on="f" miterlimit="8" joinstyle="miter"/>
                <v:imagedata o:title=""/>
                <o:lock v:ext="edit" aspectratio="f"/>
                <v:textbox style="mso-fit-shape-to-text:t;">
                  <w:txbxContent>
                    <w:p w14:paraId="59E33B12">
                      <w:pPr>
                        <w:rPr>
                          <w:b/>
                          <w:bCs/>
                          <w:color w:val="EE0000"/>
                          <w:sz w:val="24"/>
                          <w:szCs w:val="32"/>
                        </w:rPr>
                      </w:pPr>
                      <w:r>
                        <w:rPr>
                          <w:rFonts w:hint="eastAsia"/>
                          <w:b/>
                          <w:bCs/>
                          <w:color w:val="EE0000"/>
                          <w:sz w:val="24"/>
                          <w:szCs w:val="32"/>
                        </w:rPr>
                        <w:t>X射线影像亭</w:t>
                      </w:r>
                    </w:p>
                  </w:txbxContent>
                </v:textbox>
              </v:shape>
            </w:pict>
          </mc:Fallback>
        </mc:AlternateContent>
      </w:r>
      <w:r>
        <w:drawing>
          <wp:anchor distT="0" distB="0" distL="114300" distR="114300" simplePos="0" relativeHeight="251669504" behindDoc="0" locked="0" layoutInCell="1" allowOverlap="1">
            <wp:simplePos x="0" y="0"/>
            <wp:positionH relativeFrom="margin">
              <wp:posOffset>4107180</wp:posOffset>
            </wp:positionH>
            <wp:positionV relativeFrom="paragraph">
              <wp:posOffset>3824605</wp:posOffset>
            </wp:positionV>
            <wp:extent cx="373380" cy="280035"/>
            <wp:effectExtent l="0" t="0" r="7620" b="6350"/>
            <wp:wrapNone/>
            <wp:docPr id="1805123511" name="图片 8" descr="形状,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23511" name="图片 8" descr="形状, 箭头&#10;&#10;AI 生成的内容可能不正确。"/>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73626" cy="279730"/>
                    </a:xfrm>
                    <a:prstGeom prst="rect">
                      <a:avLst/>
                    </a:prstGeom>
                  </pic:spPr>
                </pic:pic>
              </a:graphicData>
            </a:graphic>
          </wp:anchor>
        </w:drawing>
      </w:r>
      <w:r>
        <w:rPr>
          <w:color w:val="000000"/>
        </w:rPr>
        <mc:AlternateContent>
          <mc:Choice Requires="wps">
            <w:drawing>
              <wp:anchor distT="45720" distB="45720" distL="114300" distR="114300" simplePos="0" relativeHeight="251668480" behindDoc="0" locked="0" layoutInCell="1" allowOverlap="1">
                <wp:simplePos x="0" y="0"/>
                <wp:positionH relativeFrom="column">
                  <wp:posOffset>3674110</wp:posOffset>
                </wp:positionH>
                <wp:positionV relativeFrom="paragraph">
                  <wp:posOffset>2640965</wp:posOffset>
                </wp:positionV>
                <wp:extent cx="748030" cy="1404620"/>
                <wp:effectExtent l="0" t="0" r="0" b="6350"/>
                <wp:wrapNone/>
                <wp:docPr id="138739304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47713" cy="1404620"/>
                        </a:xfrm>
                        <a:prstGeom prst="rect">
                          <a:avLst/>
                        </a:prstGeom>
                        <a:noFill/>
                        <a:ln w="9525">
                          <a:noFill/>
                          <a:miter lim="800000"/>
                        </a:ln>
                      </wps:spPr>
                      <wps:txbx>
                        <w:txbxContent>
                          <w:p w14:paraId="2015B9F9">
                            <w:pPr>
                              <w:rPr>
                                <w:b/>
                                <w:bCs/>
                                <w:color w:val="EE0000"/>
                                <w:sz w:val="24"/>
                                <w:szCs w:val="32"/>
                              </w:rPr>
                            </w:pPr>
                            <w:r>
                              <w:rPr>
                                <w:rFonts w:hint="eastAsia"/>
                                <w:b/>
                                <w:bCs/>
                                <w:color w:val="EE0000"/>
                                <w:sz w:val="24"/>
                                <w:szCs w:val="32"/>
                              </w:rPr>
                              <w:t>控制室</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89.3pt;margin-top:207.95pt;height:110.6pt;width:58.9pt;z-index:251668480;mso-width-relative:page;mso-height-relative:margin;mso-height-percent:200;" filled="f" stroked="f" coordsize="21600,21600" o:gfxdata="UEsDBAoAAAAAAIdO4kAAAAAAAAAAAAAAAAAEAAAAZHJzL1BLAwQUAAAACACHTuJAhyaFANoAAAAL&#10;AQAADwAAAGRycy9kb3ducmV2LnhtbE2Py07DMBBF90j8gzVI7Kid0iZtiFMh1JYlUCLWbjwkEfFD&#10;tpuWv2dYwW5Gc3Tn3GpzMSObMMTBWQnZTABD2zo92E5C8767WwGLSVmtRmdRwjdG2NTXV5UqtTvb&#10;N5wOqWMUYmOpJPQp+ZLz2PZoVJw5j5Zuny4YlWgNHddBnSncjHwuRM6NGix96JXHpx7br8PJSPDJ&#10;74vn8PL6uN1NovnYN/Oh20p5e5OJB2AJL+kPhl99UoeanI7uZHVko4RlscoJlbDIlmtgROTrfAHs&#10;SMN9kQGvK/6/Q/0DUEsDBBQAAAAIAIdO4kBZONjILQIAADIEAAAOAAAAZHJzL2Uyb0RvYy54bWyt&#10;U0tu2zAQ3RfoHQjua8m2HNuC5SCN4aJA+gHSHoCmKIuoyGFJ2pJ7gOYGXXXTfc/lc3RIOa6RbrKo&#10;FgLJ4byZ9+Zxcd2phuyFdRJ0QYeDlBKhOZRSbwv6+dP61YwS55kuWQNaFPQgHL1evnyxaE0uRlBD&#10;UwpLEES7vDUFrb03eZI4XgvF3ACM0BiswCrmcWu3SWlZi+iqSUZpepW0YEtjgQvn8HTVB+kJ0T4H&#10;EKpKcrECvlNC+x7VioZ5pORqaRxdxm6rSnD/oaqc8KQpKDL18Y9FcL0J/2S5YPnWMlNLfmqBPaeF&#10;J5wUkxqLnqFWzDOys/IfKCW5BQeVH3BQSU8kKoIshukTbe5rZkTkglI7cxbd/T9Y/n7/0RJZohPG&#10;s+l4Pk6zMSWaKZz88cfD8efv46/vZBR0ao3L8fq9wQTfvYYOcyJnZ+6Af3FEw23N9FbcWAttLViJ&#10;fQ5DZnKR2uO4ALJp30GJddjOQwTqKquCiCgLQXSc0eE8I9F5wvFwmk2nQ2yRY2iYpdnVKA4xYflj&#10;trHOvxGgSFgU1KIHIjrb3zkfumH545VQTMNaNk30QaNJW9D5ZDSJCRcRJT2avpGqoLM0fJEWyxt9&#10;YhcI9dR8t+lOam2gPCBPC73t8NHhogb7jZIWLVdQ93XHrKCkeatRq/kwy4JH4yabTJEZsZeRzWWE&#10;aY5QBfWU9MtbH30dODlzg5quZaQbxO87OfWKVooqnGwfvHq5j7f+PvXl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cmhQDaAAAACwEAAA8AAAAAAAAAAQAgAAAAIgAAAGRycy9kb3ducmV2LnhtbFBL&#10;AQIUABQAAAAIAIdO4kBZONjILQIAADIEAAAOAAAAAAAAAAEAIAAAACkBAABkcnMvZTJvRG9jLnht&#10;bFBLBQYAAAAABgAGAFkBAADIBQAAAAA=&#10;">
                <v:fill on="f" focussize="0,0"/>
                <v:stroke on="f" miterlimit="8" joinstyle="miter"/>
                <v:imagedata o:title=""/>
                <o:lock v:ext="edit" aspectratio="f"/>
                <v:textbox style="mso-fit-shape-to-text:t;">
                  <w:txbxContent>
                    <w:p w14:paraId="2015B9F9">
                      <w:pPr>
                        <w:rPr>
                          <w:b/>
                          <w:bCs/>
                          <w:color w:val="EE0000"/>
                          <w:sz w:val="24"/>
                          <w:szCs w:val="32"/>
                        </w:rPr>
                      </w:pPr>
                      <w:r>
                        <w:rPr>
                          <w:rFonts w:hint="eastAsia"/>
                          <w:b/>
                          <w:bCs/>
                          <w:color w:val="EE0000"/>
                          <w:sz w:val="24"/>
                          <w:szCs w:val="32"/>
                        </w:rPr>
                        <w:t>控制室</w:t>
                      </w:r>
                    </w:p>
                  </w:txbxContent>
                </v:textbox>
              </v:shape>
            </w:pict>
          </mc:Fallback>
        </mc:AlternateContent>
      </w:r>
      <w:r>
        <w:rPr>
          <w:color w:val="000000"/>
        </w:rPr>
        <mc:AlternateContent>
          <mc:Choice Requires="wps">
            <w:drawing>
              <wp:anchor distT="0" distB="0" distL="114300" distR="114300" simplePos="0" relativeHeight="251661312" behindDoc="0" locked="0" layoutInCell="1" allowOverlap="1">
                <wp:simplePos x="0" y="0"/>
                <wp:positionH relativeFrom="column">
                  <wp:posOffset>1950720</wp:posOffset>
                </wp:positionH>
                <wp:positionV relativeFrom="paragraph">
                  <wp:posOffset>868680</wp:posOffset>
                </wp:positionV>
                <wp:extent cx="638175" cy="352425"/>
                <wp:effectExtent l="19050" t="19050" r="28575" b="28575"/>
                <wp:wrapNone/>
                <wp:docPr id="597041934" name="矩形 6"/>
                <wp:cNvGraphicFramePr/>
                <a:graphic xmlns:a="http://schemas.openxmlformats.org/drawingml/2006/main">
                  <a:graphicData uri="http://schemas.microsoft.com/office/word/2010/wordprocessingShape">
                    <wps:wsp>
                      <wps:cNvSpPr/>
                      <wps:spPr>
                        <a:xfrm>
                          <a:off x="0" y="0"/>
                          <a:ext cx="638175" cy="352425"/>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 o:spid="_x0000_s1026" o:spt="1" style="position:absolute;left:0pt;margin-left:153.6pt;margin-top:68.4pt;height:27.75pt;width:50.25pt;z-index:251661312;v-text-anchor:middle;mso-width-relative:page;mso-height-relative:page;" filled="f" stroked="t" coordsize="21600,21600" o:gfxdata="UEsDBAoAAAAAAIdO4kAAAAAAAAAAAAAAAAAEAAAAZHJzL1BLAwQUAAAACACHTuJAmVMIhNkAAAAL&#10;AQAADwAAAGRycy9kb3ducmV2LnhtbE2PwU7DMBBE70j8g7VI3KjdBDU0xOkBBFKPhEKv23hJImI7&#10;jd2m/Xu2p3LcmafZmWJ1sr040hg67zTMZwoEudqbzjUaNp9vD08gQkRnsPeONJwpwKq8vSkwN35y&#10;H3SsYiM4xIUcNbQxDrmUoW7JYpj5gRx7P360GPkcG2lGnDjc9jJRaiEtdo4/tDjQS0v1b3WwGr42&#10;e7meXnG7Tvfv2+/luUuqodP6/m6unkFEOsUrDJf6XB1K7rTzB2eC6DWkKksYZSNd8AYmHlWWgdix&#10;skxSkGUh/28o/wBQSwMEFAAAAAgAh07iQC9h2GhzAgAA0gQAAA4AAABkcnMvZTJvRG9jLnhtbK1U&#10;zW4TMRC+I/EOlu90d9OkTVfdVFHTIqSKViqI88RrZy35D9vJprwMEjcegsdBvAZj7/aHwqEHcnBm&#10;PONvPJ+/2dOzvVZkx32Q1jS0Oigp4YbZVppNQz9+uHwzpyREMC0oa3hD73igZ4vXr057V/OJ7axq&#10;uScIYkLdu4Z2Mbq6KALruIZwYB03GBTWa4jo+k3ReugRXatiUpZHRW9967xlPATcXQ1BOiL6lwBa&#10;ISTjK8u2mps4oHquIGJLoZMu0EW+rRCcxWshAo9ENRQ7jXnFImiv01osTqHeeHCdZOMV4CVXeNaT&#10;Bmmw6APUCiKQrZd/QWnJvA1WxANmdTE0khnBLqryGTe3HTiee0Gqg3sgPfw/WPZ+d+OJbBs6Ozku&#10;p9XJ4ZQSAxof/tfX7z9/fCNHiaPehRpTb92NH72AZmp4L7xO/9gK2Wde7x545ftIGG4eHc6r4xkl&#10;DEOHs8l0MkuYxeNh50N8y60myWiox2fLbMLuKsQh9T4l1TL2UiqF+1ArQ3oEnVclvigD1KNAHaCp&#10;HfYUzIYSUBsUOos+QwarZJuOp9PBb9bnypMdoDwuLkr8jTf7Iy3VXkHohrwcSmlQaxlxFpTUDZ2n&#10;w/enlcH2EmcDS8la2/YOmfZ2kGBw7FIi7BWEeAMeNYf3x6mM17gIZbEpO1qUdNZ/+dd+ykcpYJSS&#10;HjWMDX/egueUqHcGRXJSTadJ9NmZzo4n6PinkfXTiNnqc4s8VDj/jmUz5Ud1bwpv9Scc3mWqiiEw&#10;DGsP1I7OeRxmC8ef8eUyp6HQHcQrc+tYAh8ecLmNVsj8to/sjKSh1LM6xrFMs/TUz1mPn6LF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lTCITZAAAACwEAAA8AAAAAAAAAAQAgAAAAIgAAAGRycy9k&#10;b3ducmV2LnhtbFBLAQIUABQAAAAIAIdO4kAvYdhocwIAANIEAAAOAAAAAAAAAAEAIAAAACgBAABk&#10;cnMvZTJvRG9jLnhtbFBLBQYAAAAABgAGAFkBAAANBgAAAAA=&#10;">
                <v:fill on="f" focussize="0,0"/>
                <v:stroke weight="3pt" color="#EE0000 [3204]" miterlimit="8" joinstyle="miter"/>
                <v:imagedata o:title=""/>
                <o:lock v:ext="edit" aspectratio="f"/>
              </v:rect>
            </w:pict>
          </mc:Fallback>
        </mc:AlternateContent>
      </w:r>
      <w:r>
        <w:rPr>
          <w:color w:val="000000"/>
        </w:rPr>
        <mc:AlternateContent>
          <mc:Choice Requires="wps">
            <w:drawing>
              <wp:anchor distT="0" distB="0" distL="114300" distR="114300" simplePos="0" relativeHeight="251662336" behindDoc="0" locked="0" layoutInCell="1" allowOverlap="1">
                <wp:simplePos x="0" y="0"/>
                <wp:positionH relativeFrom="column">
                  <wp:posOffset>3594100</wp:posOffset>
                </wp:positionH>
                <wp:positionV relativeFrom="paragraph">
                  <wp:posOffset>2138680</wp:posOffset>
                </wp:positionV>
                <wp:extent cx="857250" cy="1366520"/>
                <wp:effectExtent l="19050" t="19050" r="19050" b="24130"/>
                <wp:wrapNone/>
                <wp:docPr id="1586319227" name="矩形 6"/>
                <wp:cNvGraphicFramePr/>
                <a:graphic xmlns:a="http://schemas.openxmlformats.org/drawingml/2006/main">
                  <a:graphicData uri="http://schemas.microsoft.com/office/word/2010/wordprocessingShape">
                    <wps:wsp>
                      <wps:cNvSpPr/>
                      <wps:spPr>
                        <a:xfrm>
                          <a:off x="0" y="0"/>
                          <a:ext cx="857250" cy="1366837"/>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 o:spid="_x0000_s1026" o:spt="1" style="position:absolute;left:0pt;margin-left:283pt;margin-top:168.4pt;height:107.6pt;width:67.5pt;z-index:251662336;v-text-anchor:middle;mso-width-relative:page;mso-height-relative:page;" filled="f" stroked="t" coordsize="21600,21600" o:gfxdata="UEsDBAoAAAAAAIdO4kAAAAAAAAAAAAAAAAAEAAAAZHJzL1BLAwQUAAAACACHTuJA6MswwdgAAAAL&#10;AQAADwAAAGRycy9kb3ducmV2LnhtbE2PwU7DMBBE70j8g7VI3KidRA0Q4vQAAqlH0kKv28QkFvE6&#10;jd2m/XuWExx3ZjQ7r1yd3SBOZgrWk4ZkoUAYanxrqdOw3bzePYAIEanFwZPRcDEBVtX1VYlF62d6&#10;N6c6doJLKBSooY9xLKQMTW8choUfDbH35SeHkc+pk+2EM5e7QaZK5dKhJf7Q42iee9N810en4WN7&#10;kOv5BXfr7PC2+3y82LQerda3N4l6AhHNOf6F4Xc+T4eKN+39kdogBg3LPGeWqCHLcmbgxL1KWNmz&#10;tUwVyKqU/xmqH1BLAwQUAAAACACHTuJAQVXGsnMCAADUBAAADgAAAGRycy9lMm9Eb2MueG1srVTL&#10;bhMxFN0j8Q+W93QySZumoyZV1LQIqaKVCmLteDwZS35hO5mUn0Fix0fwOYjf4NgzfVBYdEEWk2vf&#10;63N9jo99erbXiuyED9KaOS0PRpQIw20tzWZOP364fDOjJERmaqasEXN6JwI9W7x+ddq5Soxta1Ut&#10;PAGICVXn5rSN0VVFEXgrNAsH1gmDZGO9ZhFDvylqzzqga1WMR6Np0VlfO2+5CAGzqz5JB0T/EkDb&#10;NJKLleVbLUzsUb1QLIJSaKULdJF32zSCx+umCSISNadgGvMXTRCv07dYnLJq45lrJR+2wF6yhWec&#10;NJMGTR+gViwysvXyLygtubfBNvGAW130RLIiYFGOnmlz2zInMhdIHdyD6OH/wfL3uxtPZA0nHM2m&#10;k/JkPD6mxDCNk//19fvPH9/INInUuVCh9tbd+GEUECbG+8br9A8uZJ+FvXsQVuwj4ZicHR2PjyA5&#10;R6qcTKezyXECLR5XOx/iW2E1ScGcehxc1pPtrkLsS+9LUjNjL6VSmGeVMqSb08msHKUGDI5s4ASE&#10;2oFVMBtKmNrA6jz6DBmsknVanlYHv1mfK092DAa5uBjhN+zsj7LUe8VC29flVCpjlZYRt0FJDZJp&#10;8f1qZUAvidbLlKK1re+gtbe9CYPjlxKwVyzEG+bhOuwf9zJe49MoC1J2iChprf/yr/lUDzMgS0kH&#10;F4Pw5y3zghL1zsAmJ+XhIWBjHhziFDDwTzPrpxmz1ecWOpR4ARzPYaqP6j5svNWfcH2XqStSzHD0&#10;7qUdBuexv114ALhYLnMZrO5YvDK3jifw/gCX22gbmc/2UZ1BNJg9u2O4mOk2PR3nqsfHaPE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6MswwdgAAAALAQAADwAAAAAAAAABACAAAAAiAAAAZHJzL2Rv&#10;d25yZXYueG1sUEsBAhQAFAAAAAgAh07iQEFVxrJzAgAA1AQAAA4AAAAAAAAAAQAgAAAAJwEAAGRy&#10;cy9lMm9Eb2MueG1sUEsFBgAAAAAGAAYAWQEAAAwGAAAAAA==&#10;">
                <v:fill on="f" focussize="0,0"/>
                <v:stroke weight="3pt" color="#EE0000 [3204]" miterlimit="8" joinstyle="miter"/>
                <v:imagedata o:title=""/>
                <o:lock v:ext="edit" aspectratio="f"/>
              </v:rect>
            </w:pict>
          </mc:Fallback>
        </mc:AlternateContent>
      </w:r>
      <w:r>
        <w:rPr>
          <w:color w:val="000000"/>
        </w:rPr>
        <w:drawing>
          <wp:inline distT="0" distB="0" distL="0" distR="0">
            <wp:extent cx="5274310" cy="4265930"/>
            <wp:effectExtent l="0" t="0" r="2540" b="1270"/>
            <wp:docPr id="9076513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51313" name="图片 1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4265930"/>
                    </a:xfrm>
                    <a:prstGeom prst="rect">
                      <a:avLst/>
                    </a:prstGeom>
                  </pic:spPr>
                </pic:pic>
              </a:graphicData>
            </a:graphic>
          </wp:inline>
        </w:drawing>
      </w:r>
    </w:p>
    <w:p w14:paraId="7CDA9259">
      <w:pPr>
        <w:pStyle w:val="15"/>
        <w:rPr>
          <w:color w:val="000000"/>
        </w:rPr>
      </w:pPr>
      <w:bookmarkStart w:id="674" w:name="_Ref42960046"/>
      <w:bookmarkStart w:id="675" w:name="_Toc62148613"/>
      <w:bookmarkStart w:id="676" w:name="_Toc94259009"/>
      <w:bookmarkStart w:id="677" w:name="_Toc77839705"/>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16</w:t>
      </w:r>
      <w:r>
        <w:rPr>
          <w:color w:val="000000"/>
        </w:rPr>
        <w:fldChar w:fldCharType="end"/>
      </w:r>
      <w:bookmarkEnd w:id="674"/>
      <w:r>
        <w:rPr>
          <w:color w:val="000000"/>
        </w:rPr>
        <w:t xml:space="preserve"> </w:t>
      </w:r>
      <w:bookmarkEnd w:id="675"/>
      <w:r>
        <w:rPr>
          <w:color w:val="000000"/>
        </w:rPr>
        <w:t>控制室</w:t>
      </w:r>
      <w:r>
        <w:rPr>
          <w:rFonts w:hint="eastAsia"/>
          <w:color w:val="000000"/>
        </w:rPr>
        <w:t>及X射线影像亭</w:t>
      </w:r>
      <w:r>
        <w:rPr>
          <w:color w:val="000000"/>
        </w:rPr>
        <w:t>位置示意图</w:t>
      </w:r>
      <w:bookmarkEnd w:id="676"/>
      <w:bookmarkEnd w:id="677"/>
    </w:p>
    <w:p w14:paraId="682D6CD2">
      <w:pPr>
        <w:pStyle w:val="6"/>
      </w:pPr>
      <w:r>
        <w:rPr>
          <w:lang w:eastAsia="zh-CN"/>
        </w:rPr>
        <w:t>控制系统</w:t>
      </w:r>
    </w:p>
    <w:p w14:paraId="31B4A44F">
      <w:pPr>
        <w:pStyle w:val="8"/>
        <w:rPr>
          <w:lang w:eastAsia="zh-CN"/>
        </w:rPr>
      </w:pPr>
      <w:r>
        <w:rPr>
          <w:lang w:eastAsia="zh-CN"/>
        </w:rPr>
        <w:t>控制系统使用通信接口控制和协调设备的所有子系统的操作和操作状态。能够提供用户界面以及控制元素，使物理师能够（从外部信息系统）导入并安全地管理预期的治疗计划。</w:t>
      </w:r>
    </w:p>
    <w:bookmarkEnd w:id="648"/>
    <w:p w14:paraId="7A103360">
      <w:pPr>
        <w:pStyle w:val="5"/>
      </w:pPr>
      <w:r>
        <w:rPr>
          <w:lang w:eastAsia="zh-CN"/>
        </w:rPr>
        <w:t>工作</w:t>
      </w:r>
      <w:r>
        <w:t>流程</w:t>
      </w:r>
      <w:r>
        <w:rPr>
          <w:lang w:eastAsia="zh-CN"/>
        </w:rPr>
        <w:t>及产污环节分析</w:t>
      </w:r>
    </w:p>
    <w:p w14:paraId="5A8FF16B">
      <w:pPr>
        <w:pStyle w:val="8"/>
      </w:pPr>
      <w:r>
        <w:rPr>
          <w:lang w:eastAsia="zh-CN"/>
        </w:rPr>
        <w:t>质子治疗系统的治疗流程和产污环节如下。</w:t>
      </w:r>
    </w:p>
    <w:p w14:paraId="5F2D8656">
      <w:pPr>
        <w:pStyle w:val="8"/>
        <w:rPr>
          <w:kern w:val="0"/>
          <w:lang w:eastAsia="zh-CN"/>
        </w:rPr>
      </w:pPr>
      <w:r>
        <w:rPr>
          <w:lang w:eastAsia="zh-CN"/>
        </w:rPr>
        <w:t>（1）制定治疗预案</w:t>
      </w:r>
    </w:p>
    <w:p w14:paraId="708783BB">
      <w:pPr>
        <w:pStyle w:val="8"/>
        <w:rPr>
          <w:lang w:eastAsia="zh-CN"/>
        </w:rPr>
      </w:pPr>
      <w:r>
        <w:rPr>
          <w:lang w:eastAsia="zh-CN"/>
        </w:rPr>
        <w:t>患者预约、就诊，</w:t>
      </w:r>
      <w:r>
        <w:t>经专家医师会诊，判断</w:t>
      </w:r>
      <w:r>
        <w:rPr>
          <w:lang w:eastAsia="zh-CN"/>
        </w:rPr>
        <w:t>患者</w:t>
      </w:r>
      <w:r>
        <w:t>符合质子治疗适应症后（诊断、治疗正当性判断），由质子治疗科室医生、物理师、</w:t>
      </w:r>
      <w:r>
        <w:rPr>
          <w:lang w:eastAsia="zh-CN"/>
        </w:rPr>
        <w:t>治疗</w:t>
      </w:r>
      <w:r>
        <w:t>技师联合讨论，制定治疗预案，并预约登记模拟定位时间和治疗时间</w:t>
      </w:r>
      <w:r>
        <w:rPr>
          <w:lang w:eastAsia="zh-CN"/>
        </w:rPr>
        <w:t>。</w:t>
      </w:r>
    </w:p>
    <w:p w14:paraId="19D58BC1">
      <w:pPr>
        <w:pStyle w:val="8"/>
        <w:rPr>
          <w:lang w:eastAsia="zh-CN"/>
        </w:rPr>
      </w:pPr>
      <w:r>
        <w:rPr>
          <w:lang w:eastAsia="zh-CN"/>
        </w:rPr>
        <w:t>（2）</w:t>
      </w:r>
      <w:r>
        <w:t>治疗前模拟定位</w:t>
      </w:r>
    </w:p>
    <w:p w14:paraId="305F3777">
      <w:pPr>
        <w:pStyle w:val="8"/>
      </w:pPr>
      <w:r>
        <w:t>对于首次预约质子治疗的患者，需要利用</w:t>
      </w:r>
      <w:r>
        <w:rPr>
          <w:lang w:eastAsia="zh-CN"/>
        </w:rPr>
        <w:t>模拟</w:t>
      </w:r>
      <w:r>
        <w:t>CT对其进行治疗前的模拟定位，采集患者数据并确定初始等中心</w:t>
      </w:r>
      <w:r>
        <w:rPr>
          <w:lang w:eastAsia="zh-CN"/>
        </w:rPr>
        <w:t>，</w:t>
      </w:r>
      <w:r>
        <w:t>主要的辐射</w:t>
      </w:r>
      <w:r>
        <w:rPr>
          <w:lang w:eastAsia="zh-CN"/>
        </w:rPr>
        <w:t>源项</w:t>
      </w:r>
      <w:r>
        <w:t>为</w:t>
      </w:r>
      <w:r>
        <w:rPr>
          <w:lang w:eastAsia="zh-CN"/>
        </w:rPr>
        <w:t>模拟</w:t>
      </w:r>
      <w:r>
        <w:t>CT机出束产生的X射线。该环节在</w:t>
      </w:r>
      <w:r>
        <w:rPr>
          <w:lang w:eastAsia="zh-CN"/>
        </w:rPr>
        <w:t>质子中心楼地上一层的CT检查室</w:t>
      </w:r>
      <w:r>
        <w:t>进行，主要由治疗技师和护士进行操作。治疗技师主要负责在</w:t>
      </w:r>
      <w:r>
        <w:rPr>
          <w:lang w:eastAsia="zh-CN"/>
        </w:rPr>
        <w:t>机房</w:t>
      </w:r>
      <w:r>
        <w:t>内进行照射前的摆位和在</w:t>
      </w:r>
      <w:r>
        <w:rPr>
          <w:lang w:eastAsia="zh-CN"/>
        </w:rPr>
        <w:t>控制室</w:t>
      </w:r>
      <w:r>
        <w:t>内</w:t>
      </w:r>
      <w:r>
        <w:rPr>
          <w:lang w:eastAsia="zh-CN"/>
        </w:rPr>
        <w:t>操作</w:t>
      </w:r>
      <w:r>
        <w:t>开机照射，照射前摆位约5min/人次，照射时间</w:t>
      </w:r>
      <w:r>
        <w:rPr>
          <w:lang w:eastAsia="zh-CN"/>
        </w:rPr>
        <w:t>约</w:t>
      </w:r>
      <w:r>
        <w:t>1min/人次。护士主要负责在有需要的情况下</w:t>
      </w:r>
      <w:r>
        <w:rPr>
          <w:lang w:eastAsia="zh-CN"/>
        </w:rPr>
        <w:t>为患者留针并</w:t>
      </w:r>
      <w:r>
        <w:t>注射造影剂，</w:t>
      </w:r>
      <w:r>
        <w:rPr>
          <w:lang w:eastAsia="zh-CN"/>
        </w:rPr>
        <w:t>在机房内完成留针，留针时间约30s</w:t>
      </w:r>
      <w:r>
        <w:t>/人次</w:t>
      </w:r>
      <w:r>
        <w:rPr>
          <w:lang w:eastAsia="zh-CN"/>
        </w:rPr>
        <w:t>；在控制室内远程注射造影剂，注射时间约30s</w:t>
      </w:r>
      <w:r>
        <w:t>/人次。具体的人员配备、操作方式和工作时间列于</w:t>
      </w:r>
      <w:r>
        <w:fldChar w:fldCharType="begin"/>
      </w:r>
      <w:r>
        <w:instrText xml:space="preserve"> REF _Ref85474983 \h  \* MERGEFORMAT </w:instrText>
      </w:r>
      <w:r>
        <w:fldChar w:fldCharType="separate"/>
      </w:r>
      <w:r>
        <w:t>表 3</w:t>
      </w:r>
      <w:r>
        <w:noBreakHyphen/>
      </w:r>
      <w:r>
        <w:t>3</w:t>
      </w:r>
      <w:r>
        <w:fldChar w:fldCharType="end"/>
      </w:r>
      <w:r>
        <w:t>。</w:t>
      </w:r>
    </w:p>
    <w:p w14:paraId="4FDFAD97">
      <w:pPr>
        <w:pStyle w:val="15"/>
        <w:keepNext/>
        <w:ind w:right="720"/>
        <w:rPr>
          <w:szCs w:val="24"/>
        </w:rPr>
      </w:pPr>
      <w:bookmarkStart w:id="678" w:name="_Ref85474983"/>
      <w:bookmarkStart w:id="679" w:name="_Toc100928138"/>
      <w:bookmarkStart w:id="680" w:name="_Toc150973455"/>
      <w:bookmarkStart w:id="681" w:name="_Toc94001607"/>
      <w:r>
        <w:rPr>
          <w:szCs w:val="24"/>
        </w:rPr>
        <w:t xml:space="preserve">表 </w:t>
      </w:r>
      <w:r>
        <w:rPr>
          <w:szCs w:val="24"/>
        </w:rPr>
        <w:fldChar w:fldCharType="begin"/>
      </w:r>
      <w:r>
        <w:rPr>
          <w:szCs w:val="24"/>
        </w:rPr>
        <w:instrText xml:space="preserve"> STYLEREF 1 \s </w:instrText>
      </w:r>
      <w:r>
        <w:rPr>
          <w:szCs w:val="24"/>
        </w:rPr>
        <w:fldChar w:fldCharType="separate"/>
      </w:r>
      <w:r>
        <w:rPr>
          <w:szCs w:val="24"/>
        </w:rPr>
        <w:t>3</w:t>
      </w:r>
      <w:r>
        <w:rPr>
          <w:szCs w:val="24"/>
        </w:rPr>
        <w:fldChar w:fldCharType="end"/>
      </w:r>
      <w:r>
        <w:rPr>
          <w:szCs w:val="24"/>
        </w:rPr>
        <w:noBreakHyphen/>
      </w:r>
      <w:r>
        <w:rPr>
          <w:szCs w:val="24"/>
        </w:rPr>
        <w:fldChar w:fldCharType="begin"/>
      </w:r>
      <w:r>
        <w:rPr>
          <w:szCs w:val="24"/>
        </w:rPr>
        <w:instrText xml:space="preserve"> SEQ 表 \* ARABIC \s 1 </w:instrText>
      </w:r>
      <w:r>
        <w:rPr>
          <w:szCs w:val="24"/>
        </w:rPr>
        <w:fldChar w:fldCharType="separate"/>
      </w:r>
      <w:r>
        <w:rPr>
          <w:szCs w:val="24"/>
        </w:rPr>
        <w:t>3</w:t>
      </w:r>
      <w:r>
        <w:rPr>
          <w:szCs w:val="24"/>
        </w:rPr>
        <w:fldChar w:fldCharType="end"/>
      </w:r>
      <w:bookmarkEnd w:id="678"/>
      <w:r>
        <w:rPr>
          <w:szCs w:val="24"/>
        </w:rPr>
        <w:t xml:space="preserve"> 治疗前模拟定位的工作人员工作内容和操作时间</w:t>
      </w:r>
      <w:bookmarkEnd w:id="679"/>
      <w:bookmarkEnd w:id="680"/>
      <w:bookmarkEnd w:id="681"/>
    </w:p>
    <w:tbl>
      <w:tblPr>
        <w:tblStyle w:val="45"/>
        <w:tblW w:w="750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13"/>
        <w:gridCol w:w="3827"/>
        <w:gridCol w:w="2268"/>
      </w:tblGrid>
      <w:tr w14:paraId="0622EF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0" w:hRule="atLeast"/>
          <w:jc w:val="center"/>
        </w:trPr>
        <w:tc>
          <w:tcPr>
            <w:tcW w:w="1413" w:type="dxa"/>
            <w:tcBorders>
              <w:top w:val="single" w:color="000000" w:sz="4" w:space="0"/>
              <w:left w:val="single" w:color="000000" w:sz="4" w:space="0"/>
              <w:bottom w:val="single" w:color="000000" w:sz="4" w:space="0"/>
              <w:right w:val="single" w:color="000000" w:sz="4" w:space="0"/>
            </w:tcBorders>
            <w:vAlign w:val="center"/>
          </w:tcPr>
          <w:p w14:paraId="53136022">
            <w:pPr>
              <w:jc w:val="center"/>
              <w:rPr>
                <w:szCs w:val="21"/>
              </w:rPr>
            </w:pPr>
            <w:r>
              <w:rPr>
                <w:szCs w:val="21"/>
              </w:rPr>
              <w:t>工作岗位</w:t>
            </w:r>
          </w:p>
        </w:tc>
        <w:tc>
          <w:tcPr>
            <w:tcW w:w="3827" w:type="dxa"/>
            <w:tcBorders>
              <w:top w:val="single" w:color="000000" w:sz="4" w:space="0"/>
              <w:left w:val="single" w:color="000000" w:sz="4" w:space="0"/>
              <w:bottom w:val="single" w:color="000000" w:sz="4" w:space="0"/>
              <w:right w:val="single" w:color="000000" w:sz="4" w:space="0"/>
            </w:tcBorders>
            <w:vAlign w:val="center"/>
          </w:tcPr>
          <w:p w14:paraId="295BCFDF">
            <w:pPr>
              <w:jc w:val="center"/>
              <w:rPr>
                <w:szCs w:val="21"/>
              </w:rPr>
            </w:pPr>
            <w:r>
              <w:rPr>
                <w:szCs w:val="21"/>
              </w:rPr>
              <w:t>工作内容</w:t>
            </w:r>
          </w:p>
        </w:tc>
        <w:tc>
          <w:tcPr>
            <w:tcW w:w="2268" w:type="dxa"/>
            <w:tcBorders>
              <w:top w:val="single" w:color="000000" w:sz="4" w:space="0"/>
              <w:left w:val="single" w:color="000000" w:sz="4" w:space="0"/>
              <w:bottom w:val="single" w:color="000000" w:sz="4" w:space="0"/>
              <w:right w:val="single" w:color="000000" w:sz="4" w:space="0"/>
            </w:tcBorders>
            <w:vAlign w:val="center"/>
          </w:tcPr>
          <w:p w14:paraId="4242577B">
            <w:pPr>
              <w:jc w:val="center"/>
              <w:rPr>
                <w:szCs w:val="21"/>
              </w:rPr>
            </w:pPr>
            <w:r>
              <w:rPr>
                <w:szCs w:val="21"/>
              </w:rPr>
              <w:t>操作时间</w:t>
            </w:r>
          </w:p>
        </w:tc>
      </w:tr>
      <w:tr w14:paraId="28841A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5" w:hRule="atLeast"/>
          <w:jc w:val="center"/>
        </w:trPr>
        <w:tc>
          <w:tcPr>
            <w:tcW w:w="1413" w:type="dxa"/>
            <w:vMerge w:val="restart"/>
            <w:tcBorders>
              <w:top w:val="single" w:color="000000" w:sz="4" w:space="0"/>
              <w:left w:val="single" w:color="000000" w:sz="4" w:space="0"/>
              <w:bottom w:val="single" w:color="000000" w:sz="4" w:space="0"/>
              <w:right w:val="single" w:color="000000" w:sz="4" w:space="0"/>
            </w:tcBorders>
            <w:vAlign w:val="center"/>
          </w:tcPr>
          <w:p w14:paraId="0553E846">
            <w:pPr>
              <w:jc w:val="center"/>
              <w:rPr>
                <w:szCs w:val="21"/>
              </w:rPr>
            </w:pPr>
            <w:r>
              <w:rPr>
                <w:szCs w:val="21"/>
              </w:rPr>
              <w:t>治疗技师</w:t>
            </w:r>
          </w:p>
        </w:tc>
        <w:tc>
          <w:tcPr>
            <w:tcW w:w="3827" w:type="dxa"/>
            <w:tcBorders>
              <w:top w:val="single" w:color="000000" w:sz="4" w:space="0"/>
              <w:left w:val="single" w:color="000000" w:sz="4" w:space="0"/>
              <w:bottom w:val="single" w:color="000000" w:sz="4" w:space="0"/>
              <w:right w:val="single" w:color="000000" w:sz="4" w:space="0"/>
            </w:tcBorders>
            <w:vAlign w:val="center"/>
          </w:tcPr>
          <w:p w14:paraId="7F028B42">
            <w:pPr>
              <w:jc w:val="center"/>
              <w:rPr>
                <w:szCs w:val="21"/>
              </w:rPr>
            </w:pPr>
            <w:r>
              <w:rPr>
                <w:szCs w:val="21"/>
              </w:rPr>
              <w:t>治疗室内摆位</w:t>
            </w:r>
          </w:p>
        </w:tc>
        <w:tc>
          <w:tcPr>
            <w:tcW w:w="2268" w:type="dxa"/>
            <w:tcBorders>
              <w:top w:val="single" w:color="000000" w:sz="4" w:space="0"/>
              <w:left w:val="single" w:color="000000" w:sz="4" w:space="0"/>
              <w:bottom w:val="single" w:color="000000" w:sz="4" w:space="0"/>
              <w:right w:val="single" w:color="000000" w:sz="4" w:space="0"/>
            </w:tcBorders>
            <w:vAlign w:val="center"/>
          </w:tcPr>
          <w:p w14:paraId="1FA56E45">
            <w:pPr>
              <w:jc w:val="center"/>
              <w:rPr>
                <w:szCs w:val="21"/>
              </w:rPr>
            </w:pPr>
            <w:r>
              <w:rPr>
                <w:szCs w:val="21"/>
              </w:rPr>
              <w:t>5min/人次</w:t>
            </w:r>
          </w:p>
        </w:tc>
      </w:tr>
      <w:tr w14:paraId="1754F3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5"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6EF279AD">
            <w:pPr>
              <w:widowControl/>
              <w:jc w:val="left"/>
              <w:rPr>
                <w:szCs w:val="21"/>
              </w:rPr>
            </w:pPr>
          </w:p>
        </w:tc>
        <w:tc>
          <w:tcPr>
            <w:tcW w:w="3827" w:type="dxa"/>
            <w:tcBorders>
              <w:top w:val="single" w:color="000000" w:sz="4" w:space="0"/>
              <w:left w:val="single" w:color="000000" w:sz="4" w:space="0"/>
              <w:bottom w:val="single" w:color="000000" w:sz="4" w:space="0"/>
              <w:right w:val="single" w:color="000000" w:sz="4" w:space="0"/>
            </w:tcBorders>
            <w:vAlign w:val="center"/>
          </w:tcPr>
          <w:p w14:paraId="6732E366">
            <w:pPr>
              <w:jc w:val="center"/>
              <w:rPr>
                <w:szCs w:val="21"/>
              </w:rPr>
            </w:pPr>
            <w:r>
              <w:rPr>
                <w:szCs w:val="21"/>
              </w:rPr>
              <w:t>控制室内操作开机照射</w:t>
            </w:r>
          </w:p>
        </w:tc>
        <w:tc>
          <w:tcPr>
            <w:tcW w:w="2268" w:type="dxa"/>
            <w:tcBorders>
              <w:top w:val="single" w:color="000000" w:sz="4" w:space="0"/>
              <w:left w:val="single" w:color="000000" w:sz="4" w:space="0"/>
              <w:bottom w:val="single" w:color="000000" w:sz="4" w:space="0"/>
              <w:right w:val="single" w:color="000000" w:sz="4" w:space="0"/>
            </w:tcBorders>
            <w:vAlign w:val="center"/>
          </w:tcPr>
          <w:p w14:paraId="264A9C25">
            <w:pPr>
              <w:jc w:val="center"/>
              <w:rPr>
                <w:szCs w:val="21"/>
              </w:rPr>
            </w:pPr>
            <w:r>
              <w:rPr>
                <w:szCs w:val="21"/>
              </w:rPr>
              <w:t>1min/人次</w:t>
            </w:r>
          </w:p>
        </w:tc>
      </w:tr>
      <w:tr w14:paraId="541271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5" w:hRule="atLeast"/>
          <w:jc w:val="center"/>
        </w:trPr>
        <w:tc>
          <w:tcPr>
            <w:tcW w:w="1413" w:type="dxa"/>
            <w:vMerge w:val="restart"/>
            <w:tcBorders>
              <w:top w:val="single" w:color="000000" w:sz="4" w:space="0"/>
              <w:left w:val="single" w:color="000000" w:sz="4" w:space="0"/>
              <w:bottom w:val="single" w:color="000000" w:sz="4" w:space="0"/>
              <w:right w:val="single" w:color="000000" w:sz="4" w:space="0"/>
            </w:tcBorders>
            <w:vAlign w:val="center"/>
          </w:tcPr>
          <w:p w14:paraId="3120DB65">
            <w:pPr>
              <w:jc w:val="center"/>
              <w:rPr>
                <w:szCs w:val="21"/>
              </w:rPr>
            </w:pPr>
            <w:r>
              <w:rPr>
                <w:szCs w:val="21"/>
              </w:rPr>
              <w:t>护士</w:t>
            </w:r>
          </w:p>
        </w:tc>
        <w:tc>
          <w:tcPr>
            <w:tcW w:w="3827" w:type="dxa"/>
            <w:tcBorders>
              <w:top w:val="single" w:color="000000" w:sz="4" w:space="0"/>
              <w:left w:val="single" w:color="000000" w:sz="4" w:space="0"/>
              <w:bottom w:val="single" w:color="000000" w:sz="4" w:space="0"/>
              <w:right w:val="single" w:color="000000" w:sz="4" w:space="0"/>
            </w:tcBorders>
            <w:vAlign w:val="center"/>
          </w:tcPr>
          <w:p w14:paraId="548D8B28">
            <w:pPr>
              <w:jc w:val="center"/>
              <w:rPr>
                <w:szCs w:val="21"/>
              </w:rPr>
            </w:pPr>
            <w:r>
              <w:rPr>
                <w:szCs w:val="21"/>
              </w:rPr>
              <w:t>机房内留针</w:t>
            </w:r>
          </w:p>
        </w:tc>
        <w:tc>
          <w:tcPr>
            <w:tcW w:w="2268" w:type="dxa"/>
            <w:tcBorders>
              <w:top w:val="single" w:color="000000" w:sz="4" w:space="0"/>
              <w:left w:val="single" w:color="000000" w:sz="4" w:space="0"/>
              <w:bottom w:val="single" w:color="000000" w:sz="4" w:space="0"/>
              <w:right w:val="single" w:color="000000" w:sz="4" w:space="0"/>
            </w:tcBorders>
            <w:vAlign w:val="center"/>
          </w:tcPr>
          <w:p w14:paraId="552052B9">
            <w:pPr>
              <w:jc w:val="center"/>
              <w:rPr>
                <w:szCs w:val="21"/>
              </w:rPr>
            </w:pPr>
            <w:r>
              <w:rPr>
                <w:szCs w:val="21"/>
              </w:rPr>
              <w:t>30s/人次</w:t>
            </w:r>
          </w:p>
        </w:tc>
      </w:tr>
      <w:tr w14:paraId="654467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5"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628DA43E">
            <w:pPr>
              <w:widowControl/>
              <w:jc w:val="left"/>
              <w:rPr>
                <w:szCs w:val="21"/>
              </w:rPr>
            </w:pPr>
          </w:p>
        </w:tc>
        <w:tc>
          <w:tcPr>
            <w:tcW w:w="3827" w:type="dxa"/>
            <w:tcBorders>
              <w:top w:val="single" w:color="000000" w:sz="4" w:space="0"/>
              <w:left w:val="single" w:color="000000" w:sz="4" w:space="0"/>
              <w:bottom w:val="single" w:color="000000" w:sz="4" w:space="0"/>
              <w:right w:val="single" w:color="000000" w:sz="4" w:space="0"/>
            </w:tcBorders>
            <w:vAlign w:val="center"/>
          </w:tcPr>
          <w:p w14:paraId="6EE2BBE2">
            <w:pPr>
              <w:jc w:val="center"/>
              <w:rPr>
                <w:szCs w:val="21"/>
              </w:rPr>
            </w:pPr>
            <w:r>
              <w:rPr>
                <w:szCs w:val="21"/>
              </w:rPr>
              <w:t>控制室内远程注射造影剂</w:t>
            </w:r>
          </w:p>
        </w:tc>
        <w:tc>
          <w:tcPr>
            <w:tcW w:w="2268" w:type="dxa"/>
            <w:tcBorders>
              <w:top w:val="single" w:color="000000" w:sz="4" w:space="0"/>
              <w:left w:val="single" w:color="000000" w:sz="4" w:space="0"/>
              <w:bottom w:val="single" w:color="000000" w:sz="4" w:space="0"/>
              <w:right w:val="single" w:color="000000" w:sz="4" w:space="0"/>
            </w:tcBorders>
            <w:vAlign w:val="center"/>
          </w:tcPr>
          <w:p w14:paraId="0B4EB362">
            <w:pPr>
              <w:jc w:val="center"/>
              <w:rPr>
                <w:szCs w:val="21"/>
              </w:rPr>
            </w:pPr>
            <w:r>
              <w:rPr>
                <w:szCs w:val="21"/>
              </w:rPr>
              <w:t>30s/人次</w:t>
            </w:r>
          </w:p>
        </w:tc>
      </w:tr>
    </w:tbl>
    <w:p w14:paraId="0C5016D2">
      <w:pPr>
        <w:pStyle w:val="8"/>
        <w:rPr>
          <w:kern w:val="0"/>
          <w:lang w:eastAsia="zh-CN"/>
        </w:rPr>
      </w:pPr>
      <w:r>
        <w:t>（3）治疗计划制定</w:t>
      </w:r>
    </w:p>
    <w:p w14:paraId="778831DB">
      <w:pPr>
        <w:pStyle w:val="8"/>
      </w:pPr>
      <w:r>
        <w:rPr>
          <w:lang w:eastAsia="zh-CN"/>
        </w:rPr>
        <w:t>物理师</w:t>
      </w:r>
      <w:r>
        <w:t>利用治疗计划系统制定治疗计划，确定治疗参数，如照射次数、照射方向、照射剂量，通过剂量计算制定剂量分布图；确定治疗等中心点的精确位置、照射野大小和方向等参数，并利用治疗计划系统提供的图像编辑和后处理工具对所制定的治疗计划进一步优化，最终确定完整的治疗计划方案。该环节</w:t>
      </w:r>
      <w:r>
        <w:rPr>
          <w:lang w:eastAsia="zh-CN"/>
        </w:rPr>
        <w:t>利用</w:t>
      </w:r>
      <w:r>
        <w:t>治疗计划系统完成，</w:t>
      </w:r>
      <w:r>
        <w:rPr>
          <w:lang w:eastAsia="zh-CN"/>
        </w:rPr>
        <w:t>不需</w:t>
      </w:r>
      <w:r>
        <w:t>开机出束。</w:t>
      </w:r>
    </w:p>
    <w:p w14:paraId="3EED87E8">
      <w:pPr>
        <w:pStyle w:val="8"/>
      </w:pPr>
      <w:r>
        <w:t>（4）治疗计划验证</w:t>
      </w:r>
    </w:p>
    <w:p w14:paraId="3983B81B">
      <w:pPr>
        <w:pStyle w:val="8"/>
      </w:pPr>
      <w:r>
        <w:t>每名患者的治疗计划在正式使用前，为确保治疗安全，都需进行一次治疗前的计划验证，即利用治疗计划方案中规定的设备运行参数对装置进行水箱</w:t>
      </w:r>
      <w:r>
        <w:rPr>
          <w:lang w:eastAsia="zh-CN"/>
        </w:rPr>
        <w:t>模</w:t>
      </w:r>
      <w:r>
        <w:t>拟治疗，实测其治疗参数，再和治疗计划中规定的治疗参数进行比较，若差值在允许容差内，则允许正式用于患者治疗。一次治疗计划验证的过程与一次正式的治疗过程基本一致</w:t>
      </w:r>
      <w:r>
        <w:rPr>
          <w:lang w:eastAsia="zh-CN"/>
        </w:rPr>
        <w:t>，总</w:t>
      </w:r>
      <w:r>
        <w:t>时间约为</w:t>
      </w:r>
      <w:r>
        <w:rPr>
          <w:lang w:eastAsia="zh-CN"/>
        </w:rPr>
        <w:t>15</w:t>
      </w:r>
      <w:r>
        <w:t>min。由物理师完成所有操作，包括在治疗室内的摆位等操作和在控制室内</w:t>
      </w:r>
      <w:r>
        <w:rPr>
          <w:lang w:eastAsia="zh-CN"/>
        </w:rPr>
        <w:t>操作</w:t>
      </w:r>
      <w:r>
        <w:t>出束照射。该环节主要的辐射源项为</w:t>
      </w:r>
      <w:r>
        <w:rPr>
          <w:lang w:eastAsia="zh-CN"/>
        </w:rPr>
        <w:t>治疗室内定位X射线管或者滑轨CT出束产生的X射线以及</w:t>
      </w:r>
      <w:r>
        <w:t>质子治疗</w:t>
      </w:r>
      <w:r>
        <w:rPr>
          <w:lang w:eastAsia="zh-CN"/>
        </w:rPr>
        <w:t>系统</w:t>
      </w:r>
      <w:r>
        <w:t>出束产生的中子、γ瞬发辐射</w:t>
      </w:r>
      <w:r>
        <w:rPr>
          <w:lang w:eastAsia="zh-CN"/>
        </w:rPr>
        <w:t>和</w:t>
      </w:r>
      <w:r>
        <w:t>感生放射性。</w:t>
      </w:r>
    </w:p>
    <w:p w14:paraId="0D3AC212">
      <w:pPr>
        <w:pStyle w:val="8"/>
      </w:pPr>
      <w:r>
        <w:t>（5）治疗前精确摆位</w:t>
      </w:r>
    </w:p>
    <w:p w14:paraId="2233F359">
      <w:pPr>
        <w:pStyle w:val="8"/>
      </w:pPr>
      <w:r>
        <w:t>计划验证通过并获得批准执行后，患者可进入治疗室内准备治疗，根据治疗计划</w:t>
      </w:r>
      <w:r>
        <w:rPr>
          <w:lang w:eastAsia="zh-CN"/>
        </w:rPr>
        <w:t>由治疗技师</w:t>
      </w:r>
      <w:r>
        <w:t>在治疗室内</w:t>
      </w:r>
      <w:r>
        <w:rPr>
          <w:lang w:eastAsia="zh-CN"/>
        </w:rPr>
        <w:t>对其</w:t>
      </w:r>
      <w:r>
        <w:t>进行摆位，摆位完成后使用治疗室内</w:t>
      </w:r>
      <w:r>
        <w:rPr>
          <w:lang w:eastAsia="zh-CN"/>
        </w:rPr>
        <w:t>的X射线</w:t>
      </w:r>
      <w:r>
        <w:t>定位系统进行精确的位置验证。该环节主要由治疗技师和护士进行操作。治疗技师负责摆位和摆位后的精确位置验证。利用治疗室内X射线管</w:t>
      </w:r>
      <w:r>
        <w:rPr>
          <w:lang w:eastAsia="zh-CN"/>
        </w:rPr>
        <w:t>或者滑轨CT</w:t>
      </w:r>
      <w:r>
        <w:t>进行精确位置验证时，治疗技师在治疗室</w:t>
      </w:r>
      <w:r>
        <w:rPr>
          <w:lang w:eastAsia="zh-CN"/>
        </w:rPr>
        <w:t>内的X射线影像亭</w:t>
      </w:r>
      <w:r>
        <w:rPr>
          <w:rFonts w:hint="eastAsia"/>
          <w:lang w:eastAsia="zh-CN"/>
        </w:rPr>
        <w:t>或者质子治疗控制室</w:t>
      </w:r>
      <w:r>
        <w:t>工作</w:t>
      </w:r>
      <w:r>
        <w:rPr>
          <w:lang w:eastAsia="zh-CN"/>
        </w:rPr>
        <w:t>。</w:t>
      </w:r>
      <w:r>
        <w:t>其中，治疗前摆位约需5min，精确位置验证约需5min。护士主要负责在有需要的情况下注射造影剂，包括进入机房内留针和在</w:t>
      </w:r>
      <w:r>
        <w:rPr>
          <w:lang w:eastAsia="zh-CN"/>
        </w:rPr>
        <w:t>治疗控制室处</w:t>
      </w:r>
      <w:r>
        <w:t>远程操作注射造影剂。</w:t>
      </w:r>
      <w:r>
        <w:rPr>
          <w:lang w:eastAsia="zh-CN"/>
        </w:rPr>
        <w:t>留针</w:t>
      </w:r>
      <w:r>
        <w:t>时间为</w:t>
      </w:r>
      <w:r>
        <w:rPr>
          <w:lang w:eastAsia="zh-CN"/>
        </w:rPr>
        <w:t>30s</w:t>
      </w:r>
      <w:r>
        <w:t>/人次，</w:t>
      </w:r>
      <w:r>
        <w:rPr>
          <w:lang w:eastAsia="zh-CN"/>
        </w:rPr>
        <w:t>注射造影剂</w:t>
      </w:r>
      <w:r>
        <w:t>时间为</w:t>
      </w:r>
      <w:r>
        <w:rPr>
          <w:lang w:eastAsia="zh-CN"/>
        </w:rPr>
        <w:t>30s</w:t>
      </w:r>
      <w:r>
        <w:t>/人次。该环节的人员配备与“治疗前模拟定位”相同，主要的辐射源项是</w:t>
      </w:r>
      <w:r>
        <w:rPr>
          <w:lang w:eastAsia="zh-CN"/>
        </w:rPr>
        <w:t>定位</w:t>
      </w:r>
      <w:r>
        <w:t>X射线管</w:t>
      </w:r>
      <w:r>
        <w:rPr>
          <w:lang w:eastAsia="zh-CN"/>
        </w:rPr>
        <w:t>或者滑轨CT机</w:t>
      </w:r>
      <w:r>
        <w:t>出束产生的X射线</w:t>
      </w:r>
      <w:r>
        <w:rPr>
          <w:lang w:eastAsia="zh-CN"/>
        </w:rPr>
        <w:t>、治疗室内活化结构部件和活化空气</w:t>
      </w:r>
      <w:r>
        <w:t>。</w:t>
      </w:r>
    </w:p>
    <w:p w14:paraId="3E0B69C2">
      <w:pPr>
        <w:pStyle w:val="8"/>
      </w:pPr>
      <w:r>
        <w:t>（6）</w:t>
      </w:r>
      <w:r>
        <w:rPr>
          <w:lang w:eastAsia="zh-CN"/>
        </w:rPr>
        <w:t>质子治疗系统出束照射</w:t>
      </w:r>
      <w:r>
        <w:t>治疗</w:t>
      </w:r>
    </w:p>
    <w:p w14:paraId="56E51BCE">
      <w:pPr>
        <w:pStyle w:val="8"/>
      </w:pPr>
      <w:r>
        <w:t>摆位验证完成后，</w:t>
      </w:r>
      <w:r>
        <w:rPr>
          <w:lang w:eastAsia="zh-CN"/>
        </w:rPr>
        <w:t>治疗</w:t>
      </w:r>
      <w:r>
        <w:t>技师离开治疗</w:t>
      </w:r>
      <w:r>
        <w:rPr>
          <w:lang w:eastAsia="zh-CN"/>
        </w:rPr>
        <w:t>室进</w:t>
      </w:r>
      <w:r>
        <w:t>入</w:t>
      </w:r>
      <w:r>
        <w:rPr>
          <w:lang w:eastAsia="zh-CN"/>
        </w:rPr>
        <w:t>治疗</w:t>
      </w:r>
      <w:r>
        <w:t>控制室内，确定所有的安全联锁建立后，启动质子束流进行出束治疗。该环节主要的辐射源项为质子治疗</w:t>
      </w:r>
      <w:r>
        <w:rPr>
          <w:lang w:eastAsia="zh-CN"/>
        </w:rPr>
        <w:t>系统</w:t>
      </w:r>
      <w:r>
        <w:t>出束期间产生的瞬发辐射和感生放射性。</w:t>
      </w:r>
    </w:p>
    <w:p w14:paraId="2E688FFE">
      <w:pPr>
        <w:pStyle w:val="8"/>
      </w:pPr>
      <w:r>
        <w:t>（7）治疗结束后解除摆位</w:t>
      </w:r>
    </w:p>
    <w:p w14:paraId="7C68DB29">
      <w:pPr>
        <w:pStyle w:val="8"/>
        <w:rPr>
          <w:lang w:eastAsia="zh-Hans"/>
        </w:rPr>
      </w:pPr>
      <w:r>
        <w:t>患者治疗结束后，治疗技师进入治疗室内，对患者解除摆位并协助其离开机房，为下一个患者治疗做准备。该环节在治疗室内进行，由治疗技师全程操作，时间约为1min。患者在接受治疗期间，其自身组织受到质子束流照射会产生感生放射性。因此，该环节主要的辐射源项为</w:t>
      </w:r>
      <w:r>
        <w:rPr>
          <w:lang w:eastAsia="zh-CN"/>
        </w:rPr>
        <w:t>治疗室内的</w:t>
      </w:r>
      <w:r>
        <w:t>患者感生放射性</w:t>
      </w:r>
      <w:r>
        <w:rPr>
          <w:lang w:eastAsia="zh-CN"/>
        </w:rPr>
        <w:t>、活化结构部件及</w:t>
      </w:r>
      <w:r>
        <w:t>活化空气。</w:t>
      </w:r>
    </w:p>
    <w:p w14:paraId="5DACB691">
      <w:pPr>
        <w:pStyle w:val="8"/>
        <w:rPr>
          <w:lang w:eastAsia="zh-CN"/>
        </w:rPr>
      </w:pPr>
      <w:r>
        <w:rPr>
          <w:lang w:eastAsia="zh-CN"/>
        </w:rPr>
        <w:t>质子治疗系统工作流程见</w:t>
      </w:r>
      <w:r>
        <w:rPr>
          <w:lang w:eastAsia="zh-CN"/>
        </w:rPr>
        <w:fldChar w:fldCharType="begin"/>
      </w:r>
      <w:r>
        <w:rPr>
          <w:lang w:eastAsia="zh-CN"/>
        </w:rPr>
        <w:instrText xml:space="preserve"> REF _Ref110614049 \h  \* MERGEFORMAT </w:instrText>
      </w:r>
      <w:r>
        <w:rPr>
          <w:lang w:eastAsia="zh-CN"/>
        </w:rPr>
        <w:fldChar w:fldCharType="separate"/>
      </w:r>
      <w:r>
        <w:t>图 3</w:t>
      </w:r>
      <w:r>
        <w:noBreakHyphen/>
      </w:r>
      <w:r>
        <w:t>17</w:t>
      </w:r>
      <w:r>
        <w:rPr>
          <w:lang w:eastAsia="zh-CN"/>
        </w:rPr>
        <w:fldChar w:fldCharType="end"/>
      </w:r>
      <w:r>
        <w:rPr>
          <w:lang w:eastAsia="zh-CN"/>
        </w:rPr>
        <w:t>。</w:t>
      </w:r>
    </w:p>
    <w:p w14:paraId="45E4D07C">
      <w:pPr>
        <w:jc w:val="center"/>
      </w:pPr>
      <w:r>
        <mc:AlternateContent>
          <mc:Choice Requires="wps">
            <w:drawing>
              <wp:anchor distT="0" distB="0" distL="114300" distR="114300" simplePos="0" relativeHeight="251660288" behindDoc="0" locked="0" layoutInCell="1" allowOverlap="1">
                <wp:simplePos x="0" y="0"/>
                <wp:positionH relativeFrom="column">
                  <wp:posOffset>66675</wp:posOffset>
                </wp:positionH>
                <wp:positionV relativeFrom="paragraph">
                  <wp:posOffset>596900</wp:posOffset>
                </wp:positionV>
                <wp:extent cx="887730" cy="327660"/>
                <wp:effectExtent l="0" t="0" r="26670" b="15240"/>
                <wp:wrapNone/>
                <wp:docPr id="1282206386" name="矩形 1"/>
                <wp:cNvGraphicFramePr/>
                <a:graphic xmlns:a="http://schemas.openxmlformats.org/drawingml/2006/main">
                  <a:graphicData uri="http://schemas.microsoft.com/office/word/2010/wordprocessingShape">
                    <wps:wsp>
                      <wps:cNvSpPr/>
                      <wps:spPr>
                        <a:xfrm>
                          <a:off x="0" y="0"/>
                          <a:ext cx="887972" cy="327704"/>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 o:spid="_x0000_s1026" o:spt="1" style="position:absolute;left:0pt;margin-left:5.25pt;margin-top:47pt;height:25.8pt;width:69.9pt;z-index:251660288;v-text-anchor:middle;mso-width-relative:page;mso-height-relative:page;" fillcolor="#FFFFFF" filled="t" stroked="t" coordsize="21600,21600" o:gfxdata="UEsDBAoAAAAAAIdO4kAAAAAAAAAAAAAAAAAEAAAAZHJzL1BLAwQUAAAACACHTuJAHWw+G9YAAAAJ&#10;AQAADwAAAGRycy9kb3ducmV2LnhtbE2PwU7DMBBE70j8g7VI3KhdqKsS4vRABSeoRKg4u/GSBOJ1&#10;FLtp+vdsT+W2oxnNvsnXk+/EiENsAxmYzxQIpCq4lmoDu8+XuxWImCw52wVCAyeMsC6ur3KbuXCk&#10;DxzLVAsuoZhZA01KfSZlrBr0Ns5Cj8Tedxi8TSyHWrrBHrncd/JeqaX0tiX+0NgenxusfsuDNzC8&#10;TrqtduNm+7M5rb7KMb1N+t2Y25u5egKRcEqXMJzxGR0KZtqHA7koOtZKc9LA44InnX2tHkDs+Vjo&#10;Jcgil/8XFH9QSwMEFAAAAAgAh07iQK5S43OBAgAAKgUAAA4AAABkcnMvZTJvRG9jLnhtbK1Uy24T&#10;MRTdI/EPlvd0JtPQpFGTKmoUhFTRSgWxdj2ejCW/sJ1Mws8gseMj+BzEb3DsmT5hgRCz8Nzre30f&#10;x+f67HyvFdkJH6Q1czo6KikRhttams2cfni/fjWlJERmaqasEXN6EIGeL16+OOvcTFS2taoWniCI&#10;CbPOzWkbo5sVReCt0CwcWScMjI31mkWoflPUnnWIrlVRleVJ0VlfO2+5CAG7q95Ih4j+bwLappFc&#10;rCzfamFiH9ULxSJaCq10gS5ytU0jeLxqmiAiUXOKTmNekQTybVqLxRmbbTxzreRDCexvSnjWk2bS&#10;IOl9qBWLjGy9/C2UltzbYJt4xK0u+kYyIuhiVD7D5qZlTuReAHVw96CH/xeWv9tdeyJrMKGaVlV5&#10;cjw9ocQwjZv/+eXbj+9fySiB1Lkwg++Nu/aDFiCmjveN1+mPXsg+A3u4B1bsI+HYnE4np5OKEg7T&#10;cTWZlOMUs3g47HyIb4TVJAlz6nFvGU62uwyxd71zSbmCVbJeS6WycggXypMdwxWDZ7XtKFEsRGzO&#10;6Tp/Q7Ynx5QhXep6UoILnIHJDRgEUTugEcyGEqY2GBEefa7lyenwb0lTEysW2r7aHDHVxmZaRkyV&#10;khpglekbSlYmWUVm8gBFuooe/CTd2vqAG/S2p3ZwfC2R5BIAXDMPLqM7THu8wtIoi5btIFHSWv/5&#10;T/vJHxSDlZIOswE4Pm2ZF8D1rQH5TkfjcRqmrIxfTyoo/rHl9rHFbPWFxd2M8K44nsXkH9Wd2Hir&#10;P+JRWKasMDHDkbsHflAuYj+zeFa4WC6zGwbIsXhpbhxPwRNOxi630TYyU+YBHVAtKRihTLph3NOM&#10;Ptaz18MTt/g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HWw+G9YAAAAJAQAADwAAAAAAAAABACAA&#10;AAAiAAAAZHJzL2Rvd25yZXYueG1sUEsBAhQAFAAAAAgAh07iQK5S43OBAgAAKgUAAA4AAAAAAAAA&#10;AQAgAAAAJQEAAGRycy9lMm9Eb2MueG1sUEsFBgAAAAAGAAYAWQEAABgGAAAAAA==&#10;">
                <v:fill on="t" focussize="0,0"/>
                <v:stroke weight="1pt" color="#FFFFFF" miterlimit="8" joinstyle="miter"/>
                <v:imagedata o:title=""/>
                <o:lock v:ext="edit" aspectratio="f"/>
              </v:rect>
            </w:pict>
          </mc:Fallback>
        </mc:AlternateContent>
      </w:r>
      <w:r>
        <w:drawing>
          <wp:inline distT="0" distB="0" distL="0" distR="0">
            <wp:extent cx="4233545" cy="2864485"/>
            <wp:effectExtent l="0" t="0" r="0" b="0"/>
            <wp:docPr id="378088825"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88825" name="图片 1" descr="表格&#10;&#10;AI 生成的内容可能不正确。"/>
                    <pic:cNvPicPr>
                      <a:picLocks noChangeAspect="1"/>
                    </pic:cNvPicPr>
                  </pic:nvPicPr>
                  <pic:blipFill>
                    <a:blip r:embed="rId52"/>
                    <a:stretch>
                      <a:fillRect/>
                    </a:stretch>
                  </pic:blipFill>
                  <pic:spPr>
                    <a:xfrm>
                      <a:off x="0" y="0"/>
                      <a:ext cx="4239520" cy="2868609"/>
                    </a:xfrm>
                    <a:prstGeom prst="rect">
                      <a:avLst/>
                    </a:prstGeom>
                  </pic:spPr>
                </pic:pic>
              </a:graphicData>
            </a:graphic>
          </wp:inline>
        </w:drawing>
      </w:r>
    </w:p>
    <w:p w14:paraId="761F0FE4">
      <w:pPr>
        <w:pStyle w:val="15"/>
        <w:ind w:right="720"/>
      </w:pPr>
      <w:bookmarkStart w:id="682" w:name="_Ref110614049"/>
      <w:bookmarkStart w:id="683" w:name="_Toc151477758"/>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17</w:t>
      </w:r>
      <w:r>
        <w:fldChar w:fldCharType="end"/>
      </w:r>
      <w:bookmarkEnd w:id="682"/>
      <w:r>
        <w:t xml:space="preserve"> 质子治疗系统工作流程</w:t>
      </w:r>
      <w:bookmarkEnd w:id="683"/>
    </w:p>
    <w:p w14:paraId="20B19EC8">
      <w:pPr>
        <w:pStyle w:val="5"/>
        <w:rPr>
          <w:lang w:eastAsia="zh-CN"/>
        </w:rPr>
      </w:pPr>
      <w:r>
        <w:rPr>
          <w:lang w:eastAsia="zh-CN"/>
        </w:rPr>
        <w:t>工作规划及人员配置</w:t>
      </w:r>
    </w:p>
    <w:p w14:paraId="5925295C">
      <w:pPr>
        <w:pStyle w:val="6"/>
      </w:pPr>
      <w:r>
        <w:rPr>
          <w:lang w:eastAsia="zh-CN"/>
        </w:rPr>
        <w:t>工作规划</w:t>
      </w:r>
    </w:p>
    <w:p w14:paraId="01B08BF0">
      <w:pPr>
        <w:pStyle w:val="8"/>
        <w:rPr>
          <w:lang w:eastAsia="zh-CN"/>
        </w:rPr>
      </w:pPr>
      <w:r>
        <w:rPr>
          <w:lang w:eastAsia="zh-CN"/>
        </w:rPr>
        <w:t>质子治疗系统的年使用规划及出束时间见</w:t>
      </w:r>
      <w:r>
        <w:rPr>
          <w:lang w:eastAsia="zh-CN"/>
        </w:rPr>
        <w:fldChar w:fldCharType="begin"/>
      </w:r>
      <w:r>
        <w:rPr>
          <w:lang w:eastAsia="zh-CN"/>
        </w:rPr>
        <w:instrText xml:space="preserve"> REF _Ref136184092 \h  \* MERGEFORMAT </w:instrText>
      </w:r>
      <w:r>
        <w:rPr>
          <w:lang w:eastAsia="zh-CN"/>
        </w:rPr>
        <w:fldChar w:fldCharType="separate"/>
      </w:r>
      <w:r>
        <w:t>表 3</w:t>
      </w:r>
      <w:r>
        <w:noBreakHyphen/>
      </w:r>
      <w:r>
        <w:t>4</w:t>
      </w:r>
      <w:r>
        <w:rPr>
          <w:lang w:eastAsia="zh-CN"/>
        </w:rPr>
        <w:fldChar w:fldCharType="end"/>
      </w:r>
      <w:r>
        <w:rPr>
          <w:lang w:eastAsia="zh-CN"/>
        </w:rPr>
        <w:t>。</w:t>
      </w:r>
    </w:p>
    <w:p w14:paraId="6CF51DAC">
      <w:pPr>
        <w:pStyle w:val="15"/>
      </w:pPr>
      <w:bookmarkStart w:id="684" w:name="_Ref136184092"/>
      <w:bookmarkStart w:id="685" w:name="_Toc150973457"/>
      <w:r>
        <w:t xml:space="preserve">表 </w:t>
      </w:r>
      <w:r>
        <w:fldChar w:fldCharType="begin"/>
      </w:r>
      <w:r>
        <w:instrText xml:space="preserve"> STYLEREF 1 \s </w:instrText>
      </w:r>
      <w:r>
        <w:fldChar w:fldCharType="separate"/>
      </w:r>
      <w:r>
        <w:t>3</w:t>
      </w:r>
      <w:r>
        <w:fldChar w:fldCharType="end"/>
      </w:r>
      <w:r>
        <w:noBreakHyphen/>
      </w:r>
      <w:r>
        <w:fldChar w:fldCharType="begin"/>
      </w:r>
      <w:r>
        <w:instrText xml:space="preserve"> SEQ 表 \* ARABIC \s 1 </w:instrText>
      </w:r>
      <w:r>
        <w:fldChar w:fldCharType="separate"/>
      </w:r>
      <w:r>
        <w:t>4</w:t>
      </w:r>
      <w:r>
        <w:fldChar w:fldCharType="end"/>
      </w:r>
      <w:bookmarkEnd w:id="684"/>
      <w:r>
        <w:t xml:space="preserve"> 质子治疗系统的年带束运行使用规划</w:t>
      </w:r>
      <w:bookmarkEnd w:id="685"/>
    </w:p>
    <w:tbl>
      <w:tblPr>
        <w:tblStyle w:val="46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2"/>
        <w:gridCol w:w="3552"/>
        <w:gridCol w:w="3138"/>
      </w:tblGrid>
      <w:tr w14:paraId="3AAF8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075" w:type="pct"/>
          </w:tcPr>
          <w:p w14:paraId="12804521">
            <w:pPr>
              <w:jc w:val="center"/>
              <w:rPr>
                <w:b/>
                <w:bCs/>
                <w:kern w:val="0"/>
                <w:szCs w:val="21"/>
              </w:rPr>
            </w:pPr>
            <w:r>
              <w:rPr>
                <w:b/>
                <w:bCs/>
                <w:kern w:val="0"/>
                <w:szCs w:val="21"/>
              </w:rPr>
              <w:t>序号</w:t>
            </w:r>
          </w:p>
        </w:tc>
        <w:tc>
          <w:tcPr>
            <w:tcW w:w="2084" w:type="pct"/>
          </w:tcPr>
          <w:p w14:paraId="5DE8ADEC">
            <w:pPr>
              <w:jc w:val="center"/>
              <w:rPr>
                <w:b/>
                <w:bCs/>
                <w:kern w:val="0"/>
                <w:szCs w:val="21"/>
              </w:rPr>
            </w:pPr>
            <w:r>
              <w:rPr>
                <w:b/>
                <w:bCs/>
                <w:kern w:val="0"/>
                <w:szCs w:val="21"/>
              </w:rPr>
              <w:t>内容</w:t>
            </w:r>
          </w:p>
        </w:tc>
        <w:tc>
          <w:tcPr>
            <w:tcW w:w="1841" w:type="pct"/>
          </w:tcPr>
          <w:p w14:paraId="426513A5">
            <w:pPr>
              <w:jc w:val="center"/>
              <w:rPr>
                <w:b/>
                <w:bCs/>
                <w:kern w:val="0"/>
                <w:szCs w:val="21"/>
              </w:rPr>
            </w:pPr>
            <w:r>
              <w:rPr>
                <w:b/>
                <w:bCs/>
                <w:kern w:val="0"/>
                <w:szCs w:val="21"/>
              </w:rPr>
              <w:t>使用规划</w:t>
            </w:r>
          </w:p>
        </w:tc>
      </w:tr>
      <w:tr w14:paraId="3C65D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restart"/>
            <w:vAlign w:val="center"/>
          </w:tcPr>
          <w:p w14:paraId="7A5F0CCE">
            <w:pPr>
              <w:jc w:val="center"/>
              <w:rPr>
                <w:kern w:val="0"/>
                <w:szCs w:val="21"/>
              </w:rPr>
            </w:pPr>
            <w:r>
              <w:rPr>
                <w:kern w:val="0"/>
                <w:szCs w:val="21"/>
              </w:rPr>
              <w:t>质子治疗系统</w:t>
            </w:r>
          </w:p>
        </w:tc>
        <w:tc>
          <w:tcPr>
            <w:tcW w:w="2084" w:type="pct"/>
            <w:vAlign w:val="center"/>
          </w:tcPr>
          <w:p w14:paraId="2B7B3EC9">
            <w:pPr>
              <w:jc w:val="center"/>
              <w:rPr>
                <w:kern w:val="0"/>
                <w:szCs w:val="21"/>
              </w:rPr>
            </w:pPr>
            <w:r>
              <w:rPr>
                <w:kern w:val="0"/>
                <w:szCs w:val="21"/>
              </w:rPr>
              <w:t>每人次治疗时间</w:t>
            </w:r>
          </w:p>
        </w:tc>
        <w:tc>
          <w:tcPr>
            <w:tcW w:w="1841" w:type="pct"/>
            <w:vAlign w:val="center"/>
          </w:tcPr>
          <w:p w14:paraId="322479EA">
            <w:pPr>
              <w:jc w:val="center"/>
              <w:rPr>
                <w:kern w:val="0"/>
                <w:szCs w:val="21"/>
              </w:rPr>
            </w:pPr>
            <w:r>
              <w:rPr>
                <w:kern w:val="0"/>
                <w:szCs w:val="21"/>
              </w:rPr>
              <w:t>15min</w:t>
            </w:r>
          </w:p>
        </w:tc>
      </w:tr>
      <w:tr w14:paraId="0179B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2A2146D3">
            <w:pPr>
              <w:jc w:val="center"/>
              <w:rPr>
                <w:kern w:val="0"/>
                <w:szCs w:val="21"/>
              </w:rPr>
            </w:pPr>
          </w:p>
        </w:tc>
        <w:tc>
          <w:tcPr>
            <w:tcW w:w="2084" w:type="pct"/>
            <w:vAlign w:val="center"/>
          </w:tcPr>
          <w:p w14:paraId="59A6E883">
            <w:pPr>
              <w:jc w:val="center"/>
              <w:rPr>
                <w:kern w:val="0"/>
                <w:szCs w:val="21"/>
              </w:rPr>
            </w:pPr>
            <w:r>
              <w:rPr>
                <w:kern w:val="0"/>
                <w:szCs w:val="21"/>
              </w:rPr>
              <w:t>质子治疗系统每小时治疗人数</w:t>
            </w:r>
          </w:p>
        </w:tc>
        <w:tc>
          <w:tcPr>
            <w:tcW w:w="1841" w:type="pct"/>
            <w:vAlign w:val="center"/>
          </w:tcPr>
          <w:p w14:paraId="7332DDF3">
            <w:pPr>
              <w:jc w:val="center"/>
              <w:rPr>
                <w:kern w:val="0"/>
                <w:szCs w:val="21"/>
              </w:rPr>
            </w:pPr>
            <w:r>
              <w:rPr>
                <w:kern w:val="0"/>
                <w:szCs w:val="21"/>
              </w:rPr>
              <w:t>4人次/小时</w:t>
            </w:r>
          </w:p>
        </w:tc>
      </w:tr>
      <w:tr w14:paraId="2CC3F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3568A189">
            <w:pPr>
              <w:jc w:val="center"/>
              <w:rPr>
                <w:kern w:val="0"/>
                <w:szCs w:val="21"/>
              </w:rPr>
            </w:pPr>
          </w:p>
        </w:tc>
        <w:tc>
          <w:tcPr>
            <w:tcW w:w="2084" w:type="pct"/>
            <w:vAlign w:val="center"/>
          </w:tcPr>
          <w:p w14:paraId="0A09E488">
            <w:pPr>
              <w:jc w:val="center"/>
              <w:rPr>
                <w:kern w:val="0"/>
                <w:szCs w:val="21"/>
              </w:rPr>
            </w:pPr>
            <w:r>
              <w:rPr>
                <w:kern w:val="0"/>
                <w:szCs w:val="21"/>
              </w:rPr>
              <w:t>每天治疗时间</w:t>
            </w:r>
          </w:p>
        </w:tc>
        <w:tc>
          <w:tcPr>
            <w:tcW w:w="1841" w:type="pct"/>
            <w:vAlign w:val="center"/>
          </w:tcPr>
          <w:p w14:paraId="3890F997">
            <w:pPr>
              <w:jc w:val="center"/>
              <w:rPr>
                <w:kern w:val="0"/>
                <w:szCs w:val="21"/>
              </w:rPr>
            </w:pPr>
            <w:r>
              <w:rPr>
                <w:kern w:val="0"/>
                <w:szCs w:val="21"/>
              </w:rPr>
              <w:t>15小时/天</w:t>
            </w:r>
          </w:p>
        </w:tc>
      </w:tr>
      <w:tr w14:paraId="633CA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757E7DEF">
            <w:pPr>
              <w:jc w:val="center"/>
              <w:rPr>
                <w:kern w:val="0"/>
                <w:szCs w:val="21"/>
              </w:rPr>
            </w:pPr>
          </w:p>
        </w:tc>
        <w:tc>
          <w:tcPr>
            <w:tcW w:w="2084" w:type="pct"/>
            <w:vAlign w:val="center"/>
          </w:tcPr>
          <w:p w14:paraId="10B2353C">
            <w:pPr>
              <w:jc w:val="center"/>
              <w:rPr>
                <w:kern w:val="0"/>
                <w:szCs w:val="21"/>
              </w:rPr>
            </w:pPr>
            <w:r>
              <w:rPr>
                <w:kern w:val="0"/>
                <w:szCs w:val="21"/>
              </w:rPr>
              <w:t>每年治疗天数</w:t>
            </w:r>
          </w:p>
        </w:tc>
        <w:tc>
          <w:tcPr>
            <w:tcW w:w="1841" w:type="pct"/>
            <w:vAlign w:val="center"/>
          </w:tcPr>
          <w:p w14:paraId="1FB0F892">
            <w:pPr>
              <w:jc w:val="center"/>
              <w:rPr>
                <w:kern w:val="0"/>
                <w:szCs w:val="21"/>
              </w:rPr>
            </w:pPr>
            <w:r>
              <w:rPr>
                <w:kern w:val="0"/>
                <w:szCs w:val="21"/>
              </w:rPr>
              <w:t>300天</w:t>
            </w:r>
          </w:p>
        </w:tc>
      </w:tr>
      <w:tr w14:paraId="59399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29F532A7">
            <w:pPr>
              <w:jc w:val="center"/>
              <w:rPr>
                <w:kern w:val="0"/>
                <w:szCs w:val="21"/>
              </w:rPr>
            </w:pPr>
          </w:p>
        </w:tc>
        <w:tc>
          <w:tcPr>
            <w:tcW w:w="2084" w:type="pct"/>
            <w:vAlign w:val="center"/>
          </w:tcPr>
          <w:p w14:paraId="3EA4F800">
            <w:pPr>
              <w:jc w:val="center"/>
              <w:rPr>
                <w:kern w:val="0"/>
                <w:szCs w:val="21"/>
              </w:rPr>
            </w:pPr>
            <w:r>
              <w:rPr>
                <w:kern w:val="0"/>
                <w:szCs w:val="21"/>
              </w:rPr>
              <w:t>每年治疗人数</w:t>
            </w:r>
          </w:p>
        </w:tc>
        <w:tc>
          <w:tcPr>
            <w:tcW w:w="1841" w:type="pct"/>
            <w:vAlign w:val="center"/>
          </w:tcPr>
          <w:p w14:paraId="59CAEED7">
            <w:pPr>
              <w:jc w:val="center"/>
              <w:rPr>
                <w:kern w:val="0"/>
                <w:szCs w:val="21"/>
              </w:rPr>
            </w:pPr>
            <w:r>
              <w:rPr>
                <w:kern w:val="0"/>
                <w:szCs w:val="21"/>
              </w:rPr>
              <w:t>18000人次</w:t>
            </w:r>
          </w:p>
        </w:tc>
      </w:tr>
      <w:tr w14:paraId="2EFF4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12209E0F">
            <w:pPr>
              <w:jc w:val="center"/>
              <w:rPr>
                <w:kern w:val="0"/>
                <w:szCs w:val="21"/>
              </w:rPr>
            </w:pPr>
          </w:p>
        </w:tc>
        <w:tc>
          <w:tcPr>
            <w:tcW w:w="2084" w:type="pct"/>
            <w:vAlign w:val="center"/>
          </w:tcPr>
          <w:p w14:paraId="085C64B1">
            <w:pPr>
              <w:jc w:val="center"/>
              <w:rPr>
                <w:kern w:val="0"/>
                <w:szCs w:val="21"/>
              </w:rPr>
            </w:pPr>
            <w:r>
              <w:rPr>
                <w:kern w:val="0"/>
                <w:szCs w:val="21"/>
              </w:rPr>
              <w:t>每人平均治疗次数</w:t>
            </w:r>
          </w:p>
        </w:tc>
        <w:tc>
          <w:tcPr>
            <w:tcW w:w="1841" w:type="pct"/>
            <w:vAlign w:val="center"/>
          </w:tcPr>
          <w:p w14:paraId="5B8F9977">
            <w:pPr>
              <w:jc w:val="center"/>
              <w:rPr>
                <w:kern w:val="0"/>
                <w:szCs w:val="21"/>
              </w:rPr>
            </w:pPr>
            <w:r>
              <w:rPr>
                <w:kern w:val="0"/>
                <w:szCs w:val="21"/>
              </w:rPr>
              <w:t>20次</w:t>
            </w:r>
          </w:p>
        </w:tc>
      </w:tr>
      <w:tr w14:paraId="0FF31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12985011">
            <w:pPr>
              <w:jc w:val="center"/>
              <w:rPr>
                <w:kern w:val="0"/>
                <w:szCs w:val="21"/>
              </w:rPr>
            </w:pPr>
          </w:p>
        </w:tc>
        <w:tc>
          <w:tcPr>
            <w:tcW w:w="2084" w:type="pct"/>
            <w:vAlign w:val="center"/>
          </w:tcPr>
          <w:p w14:paraId="7844581E">
            <w:pPr>
              <w:jc w:val="center"/>
              <w:rPr>
                <w:kern w:val="0"/>
                <w:szCs w:val="21"/>
              </w:rPr>
            </w:pPr>
            <w:r>
              <w:rPr>
                <w:kern w:val="0"/>
                <w:szCs w:val="21"/>
              </w:rPr>
              <w:t>每次治疗的平均出束时间</w:t>
            </w:r>
          </w:p>
        </w:tc>
        <w:tc>
          <w:tcPr>
            <w:tcW w:w="1841" w:type="pct"/>
            <w:vAlign w:val="center"/>
          </w:tcPr>
          <w:p w14:paraId="70F55CB9">
            <w:pPr>
              <w:jc w:val="center"/>
              <w:rPr>
                <w:kern w:val="0"/>
                <w:szCs w:val="21"/>
              </w:rPr>
            </w:pPr>
            <w:r>
              <w:rPr>
                <w:kern w:val="0"/>
                <w:szCs w:val="21"/>
              </w:rPr>
              <w:t>2min</w:t>
            </w:r>
          </w:p>
        </w:tc>
      </w:tr>
      <w:tr w14:paraId="3F153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7D1488B7">
            <w:pPr>
              <w:jc w:val="center"/>
              <w:rPr>
                <w:kern w:val="0"/>
                <w:szCs w:val="21"/>
              </w:rPr>
            </w:pPr>
          </w:p>
        </w:tc>
        <w:tc>
          <w:tcPr>
            <w:tcW w:w="2084" w:type="pct"/>
            <w:vAlign w:val="center"/>
          </w:tcPr>
          <w:p w14:paraId="17CDE180">
            <w:pPr>
              <w:jc w:val="center"/>
              <w:rPr>
                <w:kern w:val="0"/>
                <w:szCs w:val="21"/>
              </w:rPr>
            </w:pPr>
            <w:r>
              <w:rPr>
                <w:kern w:val="0"/>
                <w:szCs w:val="21"/>
              </w:rPr>
              <w:t>每年治疗病人的出束时间</w:t>
            </w:r>
          </w:p>
        </w:tc>
        <w:tc>
          <w:tcPr>
            <w:tcW w:w="1841" w:type="pct"/>
            <w:vAlign w:val="center"/>
          </w:tcPr>
          <w:p w14:paraId="50509948">
            <w:pPr>
              <w:jc w:val="center"/>
              <w:rPr>
                <w:kern w:val="0"/>
                <w:szCs w:val="21"/>
              </w:rPr>
            </w:pPr>
            <w:r>
              <w:rPr>
                <w:kern w:val="0"/>
                <w:szCs w:val="21"/>
              </w:rPr>
              <w:t>600h</w:t>
            </w:r>
          </w:p>
        </w:tc>
      </w:tr>
      <w:tr w14:paraId="764ED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2C1E8179">
            <w:pPr>
              <w:jc w:val="center"/>
              <w:rPr>
                <w:kern w:val="0"/>
                <w:szCs w:val="21"/>
              </w:rPr>
            </w:pPr>
          </w:p>
        </w:tc>
        <w:tc>
          <w:tcPr>
            <w:tcW w:w="2084" w:type="pct"/>
            <w:vAlign w:val="center"/>
          </w:tcPr>
          <w:p w14:paraId="2959D713">
            <w:pPr>
              <w:jc w:val="center"/>
              <w:rPr>
                <w:kern w:val="0"/>
                <w:szCs w:val="21"/>
              </w:rPr>
            </w:pPr>
            <w:r>
              <w:rPr>
                <w:kern w:val="0"/>
                <w:szCs w:val="21"/>
              </w:rPr>
              <w:t>治疗计划验证出束时间</w:t>
            </w:r>
          </w:p>
        </w:tc>
        <w:tc>
          <w:tcPr>
            <w:tcW w:w="1841" w:type="pct"/>
            <w:vAlign w:val="center"/>
          </w:tcPr>
          <w:p w14:paraId="769CBEC1">
            <w:pPr>
              <w:jc w:val="center"/>
              <w:rPr>
                <w:kern w:val="0"/>
                <w:szCs w:val="21"/>
              </w:rPr>
            </w:pPr>
            <w:r>
              <w:rPr>
                <w:kern w:val="0"/>
                <w:szCs w:val="21"/>
              </w:rPr>
              <w:t>2min/人×900人=30h</w:t>
            </w:r>
          </w:p>
        </w:tc>
      </w:tr>
      <w:tr w14:paraId="33FDF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5C5B5FD9">
            <w:pPr>
              <w:jc w:val="center"/>
              <w:rPr>
                <w:kern w:val="0"/>
                <w:szCs w:val="21"/>
              </w:rPr>
            </w:pPr>
          </w:p>
        </w:tc>
        <w:tc>
          <w:tcPr>
            <w:tcW w:w="2084" w:type="pct"/>
            <w:vAlign w:val="center"/>
          </w:tcPr>
          <w:p w14:paraId="3878F48E">
            <w:pPr>
              <w:jc w:val="center"/>
              <w:rPr>
                <w:kern w:val="0"/>
                <w:szCs w:val="21"/>
              </w:rPr>
            </w:pPr>
            <w:r>
              <w:rPr>
                <w:kern w:val="0"/>
                <w:szCs w:val="21"/>
              </w:rPr>
              <w:t>每年QA出束时间</w:t>
            </w:r>
          </w:p>
        </w:tc>
        <w:tc>
          <w:tcPr>
            <w:tcW w:w="1841" w:type="pct"/>
            <w:vAlign w:val="center"/>
          </w:tcPr>
          <w:p w14:paraId="134AB492">
            <w:pPr>
              <w:jc w:val="center"/>
              <w:rPr>
                <w:kern w:val="0"/>
                <w:szCs w:val="21"/>
              </w:rPr>
            </w:pPr>
            <w:r>
              <w:rPr>
                <w:kern w:val="0"/>
                <w:szCs w:val="21"/>
              </w:rPr>
              <w:t>5min/天×300天=25h</w:t>
            </w:r>
          </w:p>
        </w:tc>
      </w:tr>
      <w:tr w14:paraId="5DC5F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restart"/>
            <w:vAlign w:val="center"/>
          </w:tcPr>
          <w:p w14:paraId="30BAF70F">
            <w:pPr>
              <w:jc w:val="center"/>
              <w:rPr>
                <w:kern w:val="0"/>
                <w:szCs w:val="21"/>
              </w:rPr>
            </w:pPr>
            <w:r>
              <w:rPr>
                <w:kern w:val="0"/>
                <w:szCs w:val="21"/>
              </w:rPr>
              <w:t>滑轨CT</w:t>
            </w:r>
          </w:p>
        </w:tc>
        <w:tc>
          <w:tcPr>
            <w:tcW w:w="2084" w:type="pct"/>
            <w:vAlign w:val="center"/>
          </w:tcPr>
          <w:p w14:paraId="0FA4C11C">
            <w:pPr>
              <w:jc w:val="center"/>
              <w:rPr>
                <w:kern w:val="0"/>
                <w:szCs w:val="21"/>
              </w:rPr>
            </w:pPr>
            <w:r>
              <w:rPr>
                <w:kern w:val="0"/>
                <w:szCs w:val="21"/>
              </w:rPr>
              <w:t>每次定位出束时间</w:t>
            </w:r>
          </w:p>
        </w:tc>
        <w:tc>
          <w:tcPr>
            <w:tcW w:w="1841" w:type="pct"/>
            <w:vAlign w:val="center"/>
          </w:tcPr>
          <w:p w14:paraId="3E910DAA">
            <w:pPr>
              <w:jc w:val="center"/>
              <w:rPr>
                <w:kern w:val="0"/>
                <w:szCs w:val="21"/>
              </w:rPr>
            </w:pPr>
            <w:r>
              <w:rPr>
                <w:kern w:val="0"/>
                <w:szCs w:val="21"/>
              </w:rPr>
              <w:t>2min</w:t>
            </w:r>
          </w:p>
        </w:tc>
      </w:tr>
      <w:tr w14:paraId="4D19B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0EECFD24">
            <w:pPr>
              <w:jc w:val="center"/>
              <w:rPr>
                <w:kern w:val="0"/>
                <w:szCs w:val="21"/>
              </w:rPr>
            </w:pPr>
          </w:p>
        </w:tc>
        <w:tc>
          <w:tcPr>
            <w:tcW w:w="2084" w:type="pct"/>
            <w:vAlign w:val="center"/>
          </w:tcPr>
          <w:p w14:paraId="34B806A6">
            <w:pPr>
              <w:jc w:val="center"/>
              <w:rPr>
                <w:kern w:val="0"/>
                <w:szCs w:val="21"/>
              </w:rPr>
            </w:pPr>
            <w:r>
              <w:rPr>
                <w:kern w:val="0"/>
                <w:szCs w:val="21"/>
              </w:rPr>
              <w:t>每年定位人次数</w:t>
            </w:r>
          </w:p>
        </w:tc>
        <w:tc>
          <w:tcPr>
            <w:tcW w:w="1841" w:type="pct"/>
            <w:vAlign w:val="center"/>
          </w:tcPr>
          <w:p w14:paraId="12E3ED77">
            <w:pPr>
              <w:jc w:val="center"/>
              <w:rPr>
                <w:kern w:val="0"/>
                <w:szCs w:val="21"/>
              </w:rPr>
            </w:pPr>
            <w:r>
              <w:rPr>
                <w:kern w:val="0"/>
                <w:szCs w:val="21"/>
              </w:rPr>
              <w:t>4×900=3600人次</w:t>
            </w:r>
          </w:p>
        </w:tc>
      </w:tr>
      <w:tr w14:paraId="7B5A7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6F4B8129">
            <w:pPr>
              <w:jc w:val="center"/>
              <w:rPr>
                <w:kern w:val="0"/>
                <w:szCs w:val="21"/>
              </w:rPr>
            </w:pPr>
          </w:p>
        </w:tc>
        <w:tc>
          <w:tcPr>
            <w:tcW w:w="2084" w:type="pct"/>
            <w:vAlign w:val="center"/>
          </w:tcPr>
          <w:p w14:paraId="3EA6EAB8">
            <w:pPr>
              <w:jc w:val="center"/>
              <w:rPr>
                <w:kern w:val="0"/>
                <w:szCs w:val="21"/>
              </w:rPr>
            </w:pPr>
            <w:r>
              <w:rPr>
                <w:kern w:val="0"/>
                <w:szCs w:val="21"/>
              </w:rPr>
              <w:t>每年的出束时间</w:t>
            </w:r>
          </w:p>
        </w:tc>
        <w:tc>
          <w:tcPr>
            <w:tcW w:w="1841" w:type="pct"/>
            <w:vAlign w:val="center"/>
          </w:tcPr>
          <w:p w14:paraId="2487732E">
            <w:pPr>
              <w:jc w:val="center"/>
              <w:rPr>
                <w:kern w:val="0"/>
                <w:szCs w:val="21"/>
              </w:rPr>
            </w:pPr>
            <w:r>
              <w:rPr>
                <w:kern w:val="0"/>
                <w:szCs w:val="21"/>
              </w:rPr>
              <w:t>2min/人次×3600人次=120h</w:t>
            </w:r>
          </w:p>
        </w:tc>
      </w:tr>
      <w:tr w14:paraId="34360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restart"/>
            <w:vAlign w:val="center"/>
          </w:tcPr>
          <w:p w14:paraId="58F378B7">
            <w:pPr>
              <w:jc w:val="center"/>
              <w:rPr>
                <w:kern w:val="0"/>
                <w:szCs w:val="21"/>
              </w:rPr>
            </w:pPr>
            <w:r>
              <w:rPr>
                <w:kern w:val="0"/>
                <w:szCs w:val="21"/>
              </w:rPr>
              <w:t>定位X射线管</w:t>
            </w:r>
          </w:p>
        </w:tc>
        <w:tc>
          <w:tcPr>
            <w:tcW w:w="2084" w:type="pct"/>
            <w:vAlign w:val="center"/>
          </w:tcPr>
          <w:p w14:paraId="0F6AE943">
            <w:pPr>
              <w:jc w:val="center"/>
              <w:rPr>
                <w:kern w:val="0"/>
                <w:szCs w:val="21"/>
              </w:rPr>
            </w:pPr>
            <w:r>
              <w:rPr>
                <w:kern w:val="0"/>
                <w:szCs w:val="21"/>
              </w:rPr>
              <w:t>每次定位出束时间</w:t>
            </w:r>
          </w:p>
        </w:tc>
        <w:tc>
          <w:tcPr>
            <w:tcW w:w="1841" w:type="pct"/>
            <w:vAlign w:val="center"/>
          </w:tcPr>
          <w:p w14:paraId="13836E95">
            <w:pPr>
              <w:jc w:val="center"/>
              <w:rPr>
                <w:kern w:val="0"/>
                <w:szCs w:val="21"/>
              </w:rPr>
            </w:pPr>
            <w:r>
              <w:rPr>
                <w:kern w:val="0"/>
                <w:szCs w:val="21"/>
              </w:rPr>
              <w:t>1s</w:t>
            </w:r>
          </w:p>
        </w:tc>
      </w:tr>
      <w:tr w14:paraId="0C54F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180F60CF">
            <w:pPr>
              <w:jc w:val="center"/>
              <w:rPr>
                <w:kern w:val="0"/>
                <w:szCs w:val="21"/>
              </w:rPr>
            </w:pPr>
          </w:p>
        </w:tc>
        <w:tc>
          <w:tcPr>
            <w:tcW w:w="2084" w:type="pct"/>
            <w:vAlign w:val="center"/>
          </w:tcPr>
          <w:p w14:paraId="2101A185">
            <w:pPr>
              <w:jc w:val="center"/>
              <w:rPr>
                <w:kern w:val="0"/>
                <w:szCs w:val="21"/>
              </w:rPr>
            </w:pPr>
            <w:r>
              <w:rPr>
                <w:kern w:val="0"/>
                <w:szCs w:val="21"/>
              </w:rPr>
              <w:t>每年定位人次数</w:t>
            </w:r>
          </w:p>
        </w:tc>
        <w:tc>
          <w:tcPr>
            <w:tcW w:w="1841" w:type="pct"/>
            <w:vAlign w:val="center"/>
          </w:tcPr>
          <w:p w14:paraId="569E2742">
            <w:pPr>
              <w:jc w:val="center"/>
              <w:rPr>
                <w:kern w:val="0"/>
                <w:szCs w:val="21"/>
              </w:rPr>
            </w:pPr>
            <w:r>
              <w:rPr>
                <w:kern w:val="0"/>
                <w:szCs w:val="21"/>
              </w:rPr>
              <w:t>18000人次</w:t>
            </w:r>
          </w:p>
        </w:tc>
      </w:tr>
      <w:tr w14:paraId="1A791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5" w:type="pct"/>
            <w:vMerge w:val="continue"/>
            <w:vAlign w:val="center"/>
          </w:tcPr>
          <w:p w14:paraId="324056E8">
            <w:pPr>
              <w:jc w:val="center"/>
              <w:rPr>
                <w:kern w:val="0"/>
                <w:szCs w:val="21"/>
              </w:rPr>
            </w:pPr>
          </w:p>
        </w:tc>
        <w:tc>
          <w:tcPr>
            <w:tcW w:w="2084" w:type="pct"/>
            <w:vAlign w:val="center"/>
          </w:tcPr>
          <w:p w14:paraId="6952D47A">
            <w:pPr>
              <w:jc w:val="center"/>
              <w:rPr>
                <w:kern w:val="0"/>
                <w:szCs w:val="21"/>
              </w:rPr>
            </w:pPr>
            <w:r>
              <w:rPr>
                <w:kern w:val="0"/>
                <w:szCs w:val="21"/>
              </w:rPr>
              <w:t>每年的出束时间</w:t>
            </w:r>
          </w:p>
        </w:tc>
        <w:tc>
          <w:tcPr>
            <w:tcW w:w="1841" w:type="pct"/>
            <w:vAlign w:val="center"/>
          </w:tcPr>
          <w:p w14:paraId="29AE3020">
            <w:pPr>
              <w:jc w:val="center"/>
              <w:rPr>
                <w:kern w:val="0"/>
                <w:szCs w:val="21"/>
              </w:rPr>
            </w:pPr>
            <w:r>
              <w:rPr>
                <w:kern w:val="0"/>
                <w:szCs w:val="21"/>
              </w:rPr>
              <w:t>2s/人次×18000人次=5h</w:t>
            </w:r>
          </w:p>
        </w:tc>
      </w:tr>
    </w:tbl>
    <w:p w14:paraId="4AD4AD5E">
      <w:pPr>
        <w:pStyle w:val="6"/>
      </w:pPr>
      <w:r>
        <w:rPr>
          <w:lang w:eastAsia="zh-CN"/>
        </w:rPr>
        <w:t>人员配置</w:t>
      </w:r>
    </w:p>
    <w:p w14:paraId="5C0BD93F">
      <w:pPr>
        <w:pStyle w:val="8"/>
        <w:rPr>
          <w:lang w:eastAsia="zh-CN"/>
        </w:rPr>
      </w:pPr>
      <w:r>
        <w:rPr>
          <w:lang w:eastAsia="zh-CN"/>
        </w:rPr>
        <w:t>医院的质子治疗系统辐射工作人员配置情况见</w:t>
      </w:r>
      <w:r>
        <w:rPr>
          <w:lang w:eastAsia="zh-CN"/>
        </w:rPr>
        <w:fldChar w:fldCharType="begin"/>
      </w:r>
      <w:r>
        <w:rPr>
          <w:lang w:eastAsia="zh-CN"/>
        </w:rPr>
        <w:instrText xml:space="preserve"> REF _Ref136182872 \h  \* MERGEFORMAT </w:instrText>
      </w:r>
      <w:r>
        <w:rPr>
          <w:lang w:eastAsia="zh-CN"/>
        </w:rPr>
        <w:fldChar w:fldCharType="separate"/>
      </w:r>
      <w:r>
        <w:t>表 3</w:t>
      </w:r>
      <w:r>
        <w:noBreakHyphen/>
      </w:r>
      <w:r>
        <w:t>5</w:t>
      </w:r>
      <w:r>
        <w:rPr>
          <w:lang w:eastAsia="zh-CN"/>
        </w:rPr>
        <w:fldChar w:fldCharType="end"/>
      </w:r>
      <w:r>
        <w:rPr>
          <w:lang w:eastAsia="zh-CN"/>
        </w:rPr>
        <w:t>。</w:t>
      </w:r>
    </w:p>
    <w:p w14:paraId="4D9A2785">
      <w:pPr>
        <w:pStyle w:val="15"/>
      </w:pPr>
      <w:bookmarkStart w:id="686" w:name="_Ref136182872"/>
      <w:bookmarkStart w:id="687" w:name="_Toc150973458"/>
      <w:r>
        <w:t xml:space="preserve">表 </w:t>
      </w:r>
      <w:r>
        <w:fldChar w:fldCharType="begin"/>
      </w:r>
      <w:r>
        <w:instrText xml:space="preserve"> STYLEREF 1 \s </w:instrText>
      </w:r>
      <w:r>
        <w:fldChar w:fldCharType="separate"/>
      </w:r>
      <w:r>
        <w:t>3</w:t>
      </w:r>
      <w:r>
        <w:fldChar w:fldCharType="end"/>
      </w:r>
      <w:r>
        <w:noBreakHyphen/>
      </w:r>
      <w:r>
        <w:fldChar w:fldCharType="begin"/>
      </w:r>
      <w:r>
        <w:instrText xml:space="preserve"> SEQ 表 \* ARABIC \s 1 </w:instrText>
      </w:r>
      <w:r>
        <w:fldChar w:fldCharType="separate"/>
      </w:r>
      <w:r>
        <w:t>5</w:t>
      </w:r>
      <w:r>
        <w:fldChar w:fldCharType="end"/>
      </w:r>
      <w:bookmarkEnd w:id="686"/>
      <w:r>
        <w:t xml:space="preserve"> 质子治疗系统辐射工作人员配置情况</w:t>
      </w:r>
      <w:bookmarkEnd w:id="687"/>
    </w:p>
    <w:tbl>
      <w:tblPr>
        <w:tblStyle w:val="45"/>
        <w:tblW w:w="835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06"/>
        <w:gridCol w:w="1801"/>
        <w:gridCol w:w="2758"/>
        <w:gridCol w:w="1134"/>
        <w:gridCol w:w="1560"/>
      </w:tblGrid>
      <w:tr w14:paraId="2DBA31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1106" w:type="dxa"/>
            <w:tcBorders>
              <w:top w:val="single" w:color="000000" w:sz="4" w:space="0"/>
              <w:left w:val="single" w:color="000000" w:sz="4" w:space="0"/>
              <w:bottom w:val="single" w:color="000000" w:sz="4" w:space="0"/>
              <w:right w:val="single" w:color="000000" w:sz="4" w:space="0"/>
            </w:tcBorders>
            <w:vAlign w:val="center"/>
          </w:tcPr>
          <w:p w14:paraId="2DEAE6CB">
            <w:pPr>
              <w:jc w:val="center"/>
              <w:rPr>
                <w:b/>
                <w:bCs/>
                <w:color w:val="000000"/>
                <w:szCs w:val="21"/>
              </w:rPr>
            </w:pPr>
            <w:bookmarkStart w:id="688" w:name="_Hlk205040580"/>
            <w:r>
              <w:rPr>
                <w:b/>
                <w:bCs/>
                <w:color w:val="000000"/>
                <w:szCs w:val="21"/>
              </w:rPr>
              <w:t>岗位类别</w:t>
            </w:r>
          </w:p>
        </w:tc>
        <w:tc>
          <w:tcPr>
            <w:tcW w:w="1801" w:type="dxa"/>
            <w:tcBorders>
              <w:top w:val="single" w:color="000000" w:sz="4" w:space="0"/>
              <w:left w:val="single" w:color="000000" w:sz="4" w:space="0"/>
              <w:bottom w:val="single" w:color="000000" w:sz="4" w:space="0"/>
              <w:right w:val="single" w:color="000000" w:sz="4" w:space="0"/>
            </w:tcBorders>
            <w:vAlign w:val="center"/>
          </w:tcPr>
          <w:p w14:paraId="27A4CC8B">
            <w:pPr>
              <w:jc w:val="center"/>
              <w:rPr>
                <w:b/>
                <w:bCs/>
                <w:color w:val="000000"/>
                <w:szCs w:val="21"/>
              </w:rPr>
            </w:pPr>
            <w:r>
              <w:rPr>
                <w:b/>
                <w:bCs/>
                <w:color w:val="000000"/>
                <w:szCs w:val="21"/>
              </w:rPr>
              <w:t>工作内容</w:t>
            </w:r>
          </w:p>
        </w:tc>
        <w:tc>
          <w:tcPr>
            <w:tcW w:w="2758" w:type="dxa"/>
            <w:tcBorders>
              <w:top w:val="single" w:color="000000" w:sz="4" w:space="0"/>
              <w:left w:val="single" w:color="000000" w:sz="4" w:space="0"/>
              <w:bottom w:val="single" w:color="000000" w:sz="4" w:space="0"/>
              <w:right w:val="single" w:color="000000" w:sz="4" w:space="0"/>
            </w:tcBorders>
            <w:vAlign w:val="center"/>
          </w:tcPr>
          <w:p w14:paraId="7847BF51">
            <w:pPr>
              <w:jc w:val="center"/>
              <w:rPr>
                <w:b/>
                <w:bCs/>
                <w:color w:val="000000"/>
                <w:szCs w:val="21"/>
              </w:rPr>
            </w:pPr>
            <w:r>
              <w:rPr>
                <w:b/>
                <w:bCs/>
                <w:color w:val="000000"/>
                <w:szCs w:val="21"/>
              </w:rPr>
              <w:t>工作地点</w:t>
            </w:r>
          </w:p>
        </w:tc>
        <w:tc>
          <w:tcPr>
            <w:tcW w:w="1134" w:type="dxa"/>
            <w:tcBorders>
              <w:top w:val="single" w:color="000000" w:sz="4" w:space="0"/>
              <w:left w:val="single" w:color="000000" w:sz="4" w:space="0"/>
              <w:bottom w:val="single" w:color="000000" w:sz="4" w:space="0"/>
              <w:right w:val="single" w:color="000000" w:sz="4" w:space="0"/>
            </w:tcBorders>
            <w:vAlign w:val="center"/>
          </w:tcPr>
          <w:p w14:paraId="738389EC">
            <w:pPr>
              <w:jc w:val="center"/>
              <w:rPr>
                <w:b/>
                <w:bCs/>
                <w:color w:val="000000"/>
                <w:szCs w:val="21"/>
              </w:rPr>
            </w:pPr>
            <w:r>
              <w:rPr>
                <w:b/>
                <w:bCs/>
                <w:color w:val="000000"/>
                <w:szCs w:val="21"/>
              </w:rPr>
              <w:t>人数</w:t>
            </w:r>
          </w:p>
        </w:tc>
        <w:tc>
          <w:tcPr>
            <w:tcW w:w="1560" w:type="dxa"/>
            <w:tcBorders>
              <w:top w:val="single" w:color="000000" w:sz="4" w:space="0"/>
              <w:left w:val="single" w:color="000000" w:sz="4" w:space="0"/>
              <w:bottom w:val="single" w:color="000000" w:sz="4" w:space="0"/>
              <w:right w:val="single" w:color="000000" w:sz="4" w:space="0"/>
            </w:tcBorders>
            <w:vAlign w:val="center"/>
          </w:tcPr>
          <w:p w14:paraId="184F1A8C">
            <w:pPr>
              <w:jc w:val="center"/>
              <w:rPr>
                <w:b/>
                <w:bCs/>
                <w:color w:val="000000"/>
                <w:szCs w:val="21"/>
              </w:rPr>
            </w:pPr>
            <w:r>
              <w:rPr>
                <w:b/>
                <w:bCs/>
                <w:color w:val="000000"/>
                <w:szCs w:val="21"/>
              </w:rPr>
              <w:t>排班计划</w:t>
            </w:r>
          </w:p>
        </w:tc>
      </w:tr>
      <w:tr w14:paraId="506F3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3" w:hRule="atLeast"/>
          <w:jc w:val="center"/>
        </w:trPr>
        <w:tc>
          <w:tcPr>
            <w:tcW w:w="1106" w:type="dxa"/>
            <w:tcBorders>
              <w:top w:val="single" w:color="000000" w:sz="4" w:space="0"/>
              <w:left w:val="single" w:color="000000" w:sz="4" w:space="0"/>
              <w:bottom w:val="single" w:color="000000" w:sz="4" w:space="0"/>
              <w:right w:val="single" w:color="auto" w:sz="4" w:space="0"/>
            </w:tcBorders>
            <w:vAlign w:val="center"/>
          </w:tcPr>
          <w:p w14:paraId="5B06B76D">
            <w:pPr>
              <w:jc w:val="center"/>
              <w:rPr>
                <w:color w:val="000000"/>
                <w:szCs w:val="21"/>
              </w:rPr>
            </w:pPr>
            <w:r>
              <w:rPr>
                <w:color w:val="000000"/>
                <w:szCs w:val="21"/>
              </w:rPr>
              <w:t>医生</w:t>
            </w:r>
          </w:p>
        </w:tc>
        <w:tc>
          <w:tcPr>
            <w:tcW w:w="1801" w:type="dxa"/>
            <w:tcBorders>
              <w:top w:val="single" w:color="000000" w:sz="4" w:space="0"/>
              <w:left w:val="single" w:color="000000" w:sz="4" w:space="0"/>
              <w:bottom w:val="single" w:color="000000" w:sz="4" w:space="0"/>
              <w:right w:val="single" w:color="auto" w:sz="4" w:space="0"/>
            </w:tcBorders>
            <w:vAlign w:val="center"/>
          </w:tcPr>
          <w:p w14:paraId="2BB7BD78">
            <w:pPr>
              <w:jc w:val="center"/>
              <w:rPr>
                <w:color w:val="000000"/>
                <w:szCs w:val="21"/>
              </w:rPr>
            </w:pPr>
            <w:r>
              <w:rPr>
                <w:color w:val="000000"/>
                <w:szCs w:val="21"/>
              </w:rPr>
              <w:t>问诊、制定治疗方案、急救等</w:t>
            </w:r>
          </w:p>
        </w:tc>
        <w:tc>
          <w:tcPr>
            <w:tcW w:w="2758" w:type="dxa"/>
            <w:tcBorders>
              <w:top w:val="single" w:color="000000" w:sz="4" w:space="0"/>
              <w:left w:val="single" w:color="000000" w:sz="4" w:space="0"/>
              <w:bottom w:val="single" w:color="000000" w:sz="4" w:space="0"/>
              <w:right w:val="single" w:color="auto" w:sz="4" w:space="0"/>
            </w:tcBorders>
            <w:vAlign w:val="center"/>
          </w:tcPr>
          <w:p w14:paraId="42EC7B83">
            <w:pPr>
              <w:jc w:val="center"/>
              <w:rPr>
                <w:color w:val="000000"/>
                <w:szCs w:val="21"/>
              </w:rPr>
            </w:pPr>
            <w:r>
              <w:rPr>
                <w:color w:val="000000"/>
                <w:szCs w:val="21"/>
              </w:rPr>
              <w:t>医生诊室、治疗间、医生办公室、注射室/抢救室</w:t>
            </w:r>
          </w:p>
        </w:tc>
        <w:tc>
          <w:tcPr>
            <w:tcW w:w="1134" w:type="dxa"/>
            <w:tcBorders>
              <w:top w:val="single" w:color="000000" w:sz="4" w:space="0"/>
              <w:left w:val="single" w:color="auto" w:sz="4" w:space="0"/>
              <w:bottom w:val="single" w:color="000000" w:sz="4" w:space="0"/>
              <w:right w:val="single" w:color="000000" w:sz="4" w:space="0"/>
            </w:tcBorders>
            <w:vAlign w:val="center"/>
          </w:tcPr>
          <w:p w14:paraId="054B1F0B">
            <w:pPr>
              <w:jc w:val="center"/>
              <w:rPr>
                <w:color w:val="000000"/>
                <w:szCs w:val="21"/>
              </w:rPr>
            </w:pPr>
            <w:r>
              <w:rPr>
                <w:color w:val="000000"/>
                <w:szCs w:val="21"/>
              </w:rPr>
              <w:t>2</w:t>
            </w:r>
          </w:p>
        </w:tc>
        <w:tc>
          <w:tcPr>
            <w:tcW w:w="1560" w:type="dxa"/>
            <w:tcBorders>
              <w:top w:val="single" w:color="000000" w:sz="4" w:space="0"/>
              <w:left w:val="single" w:color="auto" w:sz="4" w:space="0"/>
              <w:bottom w:val="single" w:color="000000" w:sz="4" w:space="0"/>
              <w:right w:val="single" w:color="000000" w:sz="4" w:space="0"/>
            </w:tcBorders>
            <w:vAlign w:val="center"/>
          </w:tcPr>
          <w:p w14:paraId="2DF2A34B">
            <w:pPr>
              <w:jc w:val="center"/>
              <w:rPr>
                <w:color w:val="000000"/>
                <w:szCs w:val="21"/>
              </w:rPr>
            </w:pPr>
            <w:r>
              <w:rPr>
                <w:color w:val="000000"/>
                <w:szCs w:val="21"/>
              </w:rPr>
              <w:t>1人/班次，每天2班</w:t>
            </w:r>
          </w:p>
        </w:tc>
      </w:tr>
      <w:tr w14:paraId="4932D2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1106" w:type="dxa"/>
            <w:tcBorders>
              <w:top w:val="single" w:color="000000" w:sz="4" w:space="0"/>
              <w:left w:val="single" w:color="auto" w:sz="4" w:space="0"/>
              <w:bottom w:val="single" w:color="000000" w:sz="4" w:space="0"/>
              <w:right w:val="single" w:color="000000" w:sz="4" w:space="0"/>
            </w:tcBorders>
            <w:vAlign w:val="center"/>
          </w:tcPr>
          <w:p w14:paraId="552560ED">
            <w:pPr>
              <w:jc w:val="center"/>
              <w:rPr>
                <w:color w:val="000000"/>
                <w:szCs w:val="21"/>
              </w:rPr>
            </w:pPr>
            <w:r>
              <w:rPr>
                <w:color w:val="000000"/>
                <w:szCs w:val="21"/>
              </w:rPr>
              <w:t>物理师</w:t>
            </w:r>
          </w:p>
        </w:tc>
        <w:tc>
          <w:tcPr>
            <w:tcW w:w="1801" w:type="dxa"/>
            <w:tcBorders>
              <w:top w:val="single" w:color="000000" w:sz="4" w:space="0"/>
              <w:left w:val="single" w:color="000000" w:sz="4" w:space="0"/>
              <w:bottom w:val="single" w:color="000000" w:sz="4" w:space="0"/>
              <w:right w:val="single" w:color="000000" w:sz="4" w:space="0"/>
            </w:tcBorders>
            <w:vAlign w:val="center"/>
          </w:tcPr>
          <w:p w14:paraId="1604546B">
            <w:pPr>
              <w:jc w:val="center"/>
              <w:rPr>
                <w:color w:val="000000"/>
                <w:szCs w:val="21"/>
              </w:rPr>
            </w:pPr>
            <w:r>
              <w:rPr>
                <w:color w:val="000000"/>
                <w:szCs w:val="21"/>
              </w:rPr>
              <w:t>制定并验证治疗计划、质控等</w:t>
            </w:r>
          </w:p>
        </w:tc>
        <w:tc>
          <w:tcPr>
            <w:tcW w:w="2758" w:type="dxa"/>
            <w:tcBorders>
              <w:top w:val="single" w:color="000000" w:sz="4" w:space="0"/>
              <w:left w:val="single" w:color="000000" w:sz="4" w:space="0"/>
              <w:bottom w:val="single" w:color="000000" w:sz="4" w:space="0"/>
              <w:right w:val="single" w:color="000000" w:sz="4" w:space="0"/>
            </w:tcBorders>
            <w:vAlign w:val="center"/>
          </w:tcPr>
          <w:p w14:paraId="3F274B10">
            <w:pPr>
              <w:jc w:val="center"/>
              <w:rPr>
                <w:color w:val="000000"/>
                <w:szCs w:val="21"/>
              </w:rPr>
            </w:pPr>
            <w:r>
              <w:rPr>
                <w:color w:val="000000"/>
                <w:szCs w:val="21"/>
              </w:rPr>
              <w:t>物理师办公室、治疗间、控制室</w:t>
            </w:r>
          </w:p>
        </w:tc>
        <w:tc>
          <w:tcPr>
            <w:tcW w:w="1134" w:type="dxa"/>
            <w:tcBorders>
              <w:top w:val="single" w:color="000000" w:sz="4" w:space="0"/>
              <w:left w:val="single" w:color="000000" w:sz="4" w:space="0"/>
              <w:bottom w:val="single" w:color="000000" w:sz="4" w:space="0"/>
              <w:right w:val="single" w:color="000000" w:sz="4" w:space="0"/>
            </w:tcBorders>
            <w:vAlign w:val="center"/>
          </w:tcPr>
          <w:p w14:paraId="61777582">
            <w:pPr>
              <w:jc w:val="center"/>
              <w:rPr>
                <w:color w:val="000000"/>
                <w:szCs w:val="21"/>
              </w:rPr>
            </w:pPr>
            <w:r>
              <w:rPr>
                <w:color w:val="000000"/>
                <w:szCs w:val="21"/>
              </w:rPr>
              <w:t>2~4</w:t>
            </w:r>
          </w:p>
        </w:tc>
        <w:tc>
          <w:tcPr>
            <w:tcW w:w="1560" w:type="dxa"/>
            <w:tcBorders>
              <w:top w:val="single" w:color="000000" w:sz="4" w:space="0"/>
              <w:left w:val="single" w:color="000000" w:sz="4" w:space="0"/>
              <w:bottom w:val="single" w:color="000000" w:sz="4" w:space="0"/>
              <w:right w:val="single" w:color="000000" w:sz="4" w:space="0"/>
            </w:tcBorders>
            <w:vAlign w:val="center"/>
          </w:tcPr>
          <w:p w14:paraId="3EE3EE1E">
            <w:pPr>
              <w:jc w:val="center"/>
              <w:rPr>
                <w:color w:val="000000"/>
                <w:szCs w:val="21"/>
              </w:rPr>
            </w:pPr>
            <w:r>
              <w:rPr>
                <w:color w:val="000000"/>
                <w:szCs w:val="21"/>
              </w:rPr>
              <w:t>1~2人/班次，每天2班</w:t>
            </w:r>
          </w:p>
        </w:tc>
      </w:tr>
      <w:tr w14:paraId="31D7D0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106" w:type="dxa"/>
            <w:tcBorders>
              <w:top w:val="single" w:color="000000" w:sz="4" w:space="0"/>
              <w:left w:val="single" w:color="auto" w:sz="4" w:space="0"/>
              <w:bottom w:val="single" w:color="000000" w:sz="4" w:space="0"/>
              <w:right w:val="single" w:color="000000" w:sz="4" w:space="0"/>
            </w:tcBorders>
            <w:vAlign w:val="center"/>
          </w:tcPr>
          <w:p w14:paraId="3DBBF420">
            <w:pPr>
              <w:jc w:val="center"/>
              <w:rPr>
                <w:color w:val="000000"/>
                <w:szCs w:val="21"/>
              </w:rPr>
            </w:pPr>
            <w:r>
              <w:rPr>
                <w:color w:val="000000"/>
                <w:szCs w:val="21"/>
              </w:rPr>
              <w:t>治疗技师</w:t>
            </w:r>
          </w:p>
        </w:tc>
        <w:tc>
          <w:tcPr>
            <w:tcW w:w="1801" w:type="dxa"/>
            <w:tcBorders>
              <w:top w:val="single" w:color="000000" w:sz="4" w:space="0"/>
              <w:left w:val="single" w:color="000000" w:sz="4" w:space="0"/>
              <w:bottom w:val="single" w:color="000000" w:sz="4" w:space="0"/>
              <w:right w:val="single" w:color="000000" w:sz="4" w:space="0"/>
            </w:tcBorders>
            <w:vAlign w:val="center"/>
          </w:tcPr>
          <w:p w14:paraId="6E914305">
            <w:pPr>
              <w:jc w:val="center"/>
              <w:rPr>
                <w:color w:val="000000"/>
                <w:szCs w:val="21"/>
              </w:rPr>
            </w:pPr>
            <w:r>
              <w:rPr>
                <w:color w:val="000000"/>
              </w:rPr>
              <w:t>CT模拟定位、摆位、解除摆位等</w:t>
            </w:r>
          </w:p>
        </w:tc>
        <w:tc>
          <w:tcPr>
            <w:tcW w:w="2758" w:type="dxa"/>
            <w:tcBorders>
              <w:top w:val="single" w:color="000000" w:sz="4" w:space="0"/>
              <w:left w:val="single" w:color="000000" w:sz="4" w:space="0"/>
              <w:bottom w:val="single" w:color="000000" w:sz="4" w:space="0"/>
              <w:right w:val="single" w:color="000000" w:sz="4" w:space="0"/>
            </w:tcBorders>
            <w:vAlign w:val="center"/>
          </w:tcPr>
          <w:p w14:paraId="55C4F706">
            <w:pPr>
              <w:jc w:val="center"/>
              <w:rPr>
                <w:color w:val="000000"/>
                <w:szCs w:val="21"/>
              </w:rPr>
            </w:pPr>
            <w:r>
              <w:rPr>
                <w:color w:val="000000"/>
                <w:szCs w:val="21"/>
              </w:rPr>
              <w:t>CT检查室、CT控制室、治疗间、控制室</w:t>
            </w:r>
          </w:p>
        </w:tc>
        <w:tc>
          <w:tcPr>
            <w:tcW w:w="1134" w:type="dxa"/>
            <w:tcBorders>
              <w:top w:val="single" w:color="000000" w:sz="4" w:space="0"/>
              <w:left w:val="single" w:color="000000" w:sz="4" w:space="0"/>
              <w:bottom w:val="single" w:color="000000" w:sz="4" w:space="0"/>
              <w:right w:val="single" w:color="000000" w:sz="4" w:space="0"/>
            </w:tcBorders>
            <w:vAlign w:val="center"/>
          </w:tcPr>
          <w:p w14:paraId="004583B7">
            <w:pPr>
              <w:jc w:val="center"/>
              <w:rPr>
                <w:color w:val="000000"/>
                <w:szCs w:val="21"/>
              </w:rPr>
            </w:pPr>
            <w:r>
              <w:rPr>
                <w:color w:val="000000"/>
                <w:szCs w:val="21"/>
              </w:rPr>
              <w:t>4~6</w:t>
            </w:r>
          </w:p>
        </w:tc>
        <w:tc>
          <w:tcPr>
            <w:tcW w:w="1560" w:type="dxa"/>
            <w:tcBorders>
              <w:top w:val="single" w:color="000000" w:sz="4" w:space="0"/>
              <w:left w:val="single" w:color="000000" w:sz="4" w:space="0"/>
              <w:bottom w:val="single" w:color="000000" w:sz="4" w:space="0"/>
              <w:right w:val="single" w:color="000000" w:sz="4" w:space="0"/>
            </w:tcBorders>
            <w:vAlign w:val="center"/>
          </w:tcPr>
          <w:p w14:paraId="05DAB17E">
            <w:pPr>
              <w:jc w:val="center"/>
              <w:rPr>
                <w:color w:val="000000"/>
                <w:szCs w:val="21"/>
              </w:rPr>
            </w:pPr>
            <w:r>
              <w:rPr>
                <w:color w:val="000000"/>
                <w:szCs w:val="21"/>
              </w:rPr>
              <w:t>2~3人/班次，每天2班</w:t>
            </w:r>
          </w:p>
        </w:tc>
      </w:tr>
      <w:tr w14:paraId="007026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106" w:type="dxa"/>
            <w:tcBorders>
              <w:top w:val="single" w:color="000000" w:sz="4" w:space="0"/>
              <w:left w:val="single" w:color="auto" w:sz="4" w:space="0"/>
              <w:bottom w:val="single" w:color="000000" w:sz="4" w:space="0"/>
              <w:right w:val="single" w:color="000000" w:sz="4" w:space="0"/>
            </w:tcBorders>
            <w:vAlign w:val="center"/>
          </w:tcPr>
          <w:p w14:paraId="3F57F097">
            <w:pPr>
              <w:jc w:val="center"/>
              <w:rPr>
                <w:color w:val="000000"/>
                <w:szCs w:val="21"/>
              </w:rPr>
            </w:pPr>
            <w:r>
              <w:rPr>
                <w:color w:val="000000"/>
                <w:szCs w:val="21"/>
              </w:rPr>
              <w:t>护士</w:t>
            </w:r>
          </w:p>
        </w:tc>
        <w:tc>
          <w:tcPr>
            <w:tcW w:w="1801" w:type="dxa"/>
            <w:tcBorders>
              <w:top w:val="single" w:color="000000" w:sz="4" w:space="0"/>
              <w:left w:val="single" w:color="000000" w:sz="4" w:space="0"/>
              <w:bottom w:val="single" w:color="000000" w:sz="4" w:space="0"/>
              <w:right w:val="single" w:color="000000" w:sz="4" w:space="0"/>
            </w:tcBorders>
            <w:vAlign w:val="center"/>
          </w:tcPr>
          <w:p w14:paraId="2BB5B4C6">
            <w:pPr>
              <w:jc w:val="center"/>
              <w:rPr>
                <w:color w:val="000000"/>
                <w:szCs w:val="21"/>
              </w:rPr>
            </w:pPr>
            <w:r>
              <w:rPr>
                <w:color w:val="000000"/>
              </w:rPr>
              <w:t>CT模拟定位、治疗准备、</w:t>
            </w:r>
            <w:r>
              <w:rPr>
                <w:color w:val="000000"/>
                <w:szCs w:val="21"/>
              </w:rPr>
              <w:t>注射、护理等</w:t>
            </w:r>
          </w:p>
        </w:tc>
        <w:tc>
          <w:tcPr>
            <w:tcW w:w="2758" w:type="dxa"/>
            <w:tcBorders>
              <w:top w:val="single" w:color="000000" w:sz="4" w:space="0"/>
              <w:left w:val="single" w:color="000000" w:sz="4" w:space="0"/>
              <w:bottom w:val="single" w:color="000000" w:sz="4" w:space="0"/>
              <w:right w:val="single" w:color="000000" w:sz="4" w:space="0"/>
            </w:tcBorders>
            <w:vAlign w:val="center"/>
          </w:tcPr>
          <w:p w14:paraId="74E4DEE7">
            <w:pPr>
              <w:jc w:val="center"/>
              <w:rPr>
                <w:color w:val="000000"/>
                <w:szCs w:val="21"/>
              </w:rPr>
            </w:pPr>
            <w:r>
              <w:rPr>
                <w:color w:val="000000"/>
                <w:szCs w:val="21"/>
              </w:rPr>
              <w:t>CT检查室、CT控制室、治疗间、控制室、护士办公室</w:t>
            </w:r>
          </w:p>
        </w:tc>
        <w:tc>
          <w:tcPr>
            <w:tcW w:w="1134" w:type="dxa"/>
            <w:tcBorders>
              <w:top w:val="single" w:color="000000" w:sz="4" w:space="0"/>
              <w:left w:val="single" w:color="000000" w:sz="4" w:space="0"/>
              <w:bottom w:val="single" w:color="000000" w:sz="4" w:space="0"/>
              <w:right w:val="single" w:color="000000" w:sz="4" w:space="0"/>
            </w:tcBorders>
            <w:vAlign w:val="center"/>
          </w:tcPr>
          <w:p w14:paraId="0B482EFE">
            <w:pPr>
              <w:jc w:val="center"/>
              <w:rPr>
                <w:color w:val="000000"/>
                <w:szCs w:val="21"/>
              </w:rPr>
            </w:pPr>
            <w:r>
              <w:rPr>
                <w:color w:val="000000"/>
                <w:szCs w:val="21"/>
              </w:rPr>
              <w:t>2</w:t>
            </w:r>
          </w:p>
        </w:tc>
        <w:tc>
          <w:tcPr>
            <w:tcW w:w="1560" w:type="dxa"/>
            <w:tcBorders>
              <w:top w:val="single" w:color="000000" w:sz="4" w:space="0"/>
              <w:left w:val="single" w:color="000000" w:sz="4" w:space="0"/>
              <w:bottom w:val="single" w:color="000000" w:sz="4" w:space="0"/>
              <w:right w:val="single" w:color="000000" w:sz="4" w:space="0"/>
            </w:tcBorders>
            <w:vAlign w:val="center"/>
          </w:tcPr>
          <w:p w14:paraId="6B3F8F7A">
            <w:pPr>
              <w:jc w:val="center"/>
              <w:rPr>
                <w:color w:val="000000"/>
                <w:szCs w:val="21"/>
              </w:rPr>
            </w:pPr>
            <w:r>
              <w:rPr>
                <w:color w:val="000000"/>
                <w:szCs w:val="21"/>
              </w:rPr>
              <w:t>1人/班次，每天2班</w:t>
            </w:r>
          </w:p>
        </w:tc>
      </w:tr>
      <w:tr w14:paraId="5D153C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0" w:hRule="atLeast"/>
          <w:jc w:val="center"/>
        </w:trPr>
        <w:tc>
          <w:tcPr>
            <w:tcW w:w="1106" w:type="dxa"/>
            <w:tcBorders>
              <w:top w:val="single" w:color="000000" w:sz="4" w:space="0"/>
              <w:left w:val="single" w:color="auto" w:sz="4" w:space="0"/>
              <w:bottom w:val="single" w:color="000000" w:sz="4" w:space="0"/>
              <w:right w:val="single" w:color="000000" w:sz="4" w:space="0"/>
            </w:tcBorders>
            <w:vAlign w:val="center"/>
          </w:tcPr>
          <w:p w14:paraId="6991D8EA">
            <w:pPr>
              <w:jc w:val="center"/>
              <w:rPr>
                <w:color w:val="000000"/>
                <w:szCs w:val="21"/>
              </w:rPr>
            </w:pPr>
            <w:r>
              <w:rPr>
                <w:color w:val="000000"/>
                <w:szCs w:val="21"/>
              </w:rPr>
              <w:t>维修工程师</w:t>
            </w:r>
          </w:p>
        </w:tc>
        <w:tc>
          <w:tcPr>
            <w:tcW w:w="1801" w:type="dxa"/>
            <w:tcBorders>
              <w:top w:val="single" w:color="000000" w:sz="4" w:space="0"/>
              <w:left w:val="single" w:color="000000" w:sz="4" w:space="0"/>
              <w:bottom w:val="single" w:color="000000" w:sz="4" w:space="0"/>
              <w:right w:val="single" w:color="000000" w:sz="4" w:space="0"/>
            </w:tcBorders>
            <w:vAlign w:val="center"/>
          </w:tcPr>
          <w:p w14:paraId="1B3B7728">
            <w:pPr>
              <w:jc w:val="center"/>
              <w:rPr>
                <w:color w:val="000000"/>
              </w:rPr>
            </w:pPr>
            <w:r>
              <w:rPr>
                <w:color w:val="000000"/>
              </w:rPr>
              <w:t>设备日常运维</w:t>
            </w:r>
          </w:p>
        </w:tc>
        <w:tc>
          <w:tcPr>
            <w:tcW w:w="2758" w:type="dxa"/>
            <w:tcBorders>
              <w:top w:val="single" w:color="000000" w:sz="4" w:space="0"/>
              <w:left w:val="single" w:color="000000" w:sz="4" w:space="0"/>
              <w:bottom w:val="single" w:color="000000" w:sz="4" w:space="0"/>
              <w:right w:val="single" w:color="000000" w:sz="4" w:space="0"/>
            </w:tcBorders>
            <w:vAlign w:val="center"/>
          </w:tcPr>
          <w:p w14:paraId="5356F8EB">
            <w:pPr>
              <w:jc w:val="center"/>
              <w:rPr>
                <w:color w:val="000000"/>
                <w:szCs w:val="21"/>
              </w:rPr>
            </w:pPr>
            <w:r>
              <w:rPr>
                <w:color w:val="000000"/>
                <w:szCs w:val="21"/>
              </w:rPr>
              <w:t>工程师办公室、治疗间</w:t>
            </w:r>
          </w:p>
        </w:tc>
        <w:tc>
          <w:tcPr>
            <w:tcW w:w="1134" w:type="dxa"/>
            <w:tcBorders>
              <w:top w:val="single" w:color="000000" w:sz="4" w:space="0"/>
              <w:left w:val="single" w:color="000000" w:sz="4" w:space="0"/>
              <w:bottom w:val="single" w:color="000000" w:sz="4" w:space="0"/>
              <w:right w:val="single" w:color="000000" w:sz="4" w:space="0"/>
            </w:tcBorders>
            <w:vAlign w:val="center"/>
          </w:tcPr>
          <w:p w14:paraId="4A9842D6">
            <w:pPr>
              <w:jc w:val="center"/>
              <w:rPr>
                <w:color w:val="000000"/>
                <w:szCs w:val="21"/>
              </w:rPr>
            </w:pPr>
            <w:r>
              <w:rPr>
                <w:color w:val="000000"/>
                <w:szCs w:val="21"/>
              </w:rPr>
              <w:t>2</w:t>
            </w:r>
          </w:p>
        </w:tc>
        <w:tc>
          <w:tcPr>
            <w:tcW w:w="1560" w:type="dxa"/>
            <w:tcBorders>
              <w:top w:val="single" w:color="000000" w:sz="4" w:space="0"/>
              <w:left w:val="single" w:color="000000" w:sz="4" w:space="0"/>
              <w:bottom w:val="single" w:color="000000" w:sz="4" w:space="0"/>
              <w:right w:val="single" w:color="000000" w:sz="4" w:space="0"/>
            </w:tcBorders>
            <w:vAlign w:val="center"/>
          </w:tcPr>
          <w:p w14:paraId="4E48E20F">
            <w:pPr>
              <w:jc w:val="center"/>
              <w:rPr>
                <w:color w:val="000000"/>
                <w:szCs w:val="21"/>
              </w:rPr>
            </w:pPr>
            <w:r>
              <w:rPr>
                <w:color w:val="000000"/>
                <w:szCs w:val="21"/>
              </w:rPr>
              <w:t>1~2人/天</w:t>
            </w:r>
          </w:p>
        </w:tc>
      </w:tr>
      <w:bookmarkEnd w:id="688"/>
    </w:tbl>
    <w:p w14:paraId="12CD5F01">
      <w:pPr>
        <w:rPr>
          <w:lang w:val="zh-CN"/>
        </w:rPr>
      </w:pPr>
    </w:p>
    <w:bookmarkEnd w:id="616"/>
    <w:p w14:paraId="6BC265FA">
      <w:pPr>
        <w:pStyle w:val="4"/>
        <w:rPr>
          <w:rFonts w:eastAsia="宋体"/>
          <w:lang w:eastAsia="zh-CN"/>
        </w:rPr>
      </w:pPr>
      <w:bookmarkStart w:id="689" w:name="_Toc199954874"/>
      <w:bookmarkStart w:id="690" w:name="_Toc209125222"/>
      <w:r>
        <w:rPr>
          <w:rFonts w:eastAsia="宋体"/>
          <w:lang w:eastAsia="zh-CN"/>
        </w:rPr>
        <w:t>CT机</w:t>
      </w:r>
      <w:bookmarkEnd w:id="689"/>
      <w:bookmarkEnd w:id="690"/>
    </w:p>
    <w:p w14:paraId="1BCF2601">
      <w:pPr>
        <w:pStyle w:val="8"/>
        <w:rPr>
          <w:lang w:eastAsia="zh-CN"/>
        </w:rPr>
      </w:pPr>
      <w:r>
        <w:t>模拟定位</w:t>
      </w:r>
      <w:r>
        <w:rPr>
          <w:lang w:eastAsia="zh-CN"/>
        </w:rPr>
        <w:t>CT</w:t>
      </w:r>
      <w:r>
        <w:t>机主要由X射线发生装置、金属影像增强器、数据图像处理器、床体系统等组成。</w:t>
      </w:r>
      <w:r>
        <w:rPr>
          <w:lang w:eastAsia="zh-CN"/>
        </w:rPr>
        <w:t>X射线发生装置由X射线球管和高压电源组成。</w:t>
      </w:r>
      <w:r>
        <w:t>X射线管由安装在真空玻璃壳中的阴极和阳极组成。阴极是钨制灯丝，装在聚焦杯中。当灯通电加热时，电子即“蒸发”出来，而聚焦杯使这些电子聚焦成束，直接向嵌在金属阳极中的靶体射击。高电压加在X射线管的两极之间，使电子在射到靶体之前被加速达到很高的速度。靶体一般采用高原子序数的难熔金属制成，高速电子轰击靶体产生X射线。</w:t>
      </w:r>
    </w:p>
    <w:p w14:paraId="143C6E99">
      <w:pPr>
        <w:pStyle w:val="8"/>
        <w:rPr>
          <w:lang w:eastAsia="zh-CN"/>
        </w:rPr>
      </w:pPr>
      <w:r>
        <w:rPr>
          <w:lang w:eastAsia="zh-CN"/>
        </w:rPr>
        <w:t>模拟定位CT机是诊断性CT机与传统模拟定位机的结合。现代的模拟定位CT机常选用大孔径、高速扫描的螺旋CT机，由于扫描速度快，扫描层厚薄，重建的CT图像质量较高。临床医师在CT横断面上逐层勾画出肿瘤和周围重要器官的轮廓，从而确定肿瘤靶体积及其与周围重要器官的关系。并根据肿瘤侵袭的微观特点设计了包含肿瘤细胞可能侵袭的亚临床病灶的临床靶区，进一步考虑到器官运动及摆位误差的影响，设计适当的计划靶区。通过优化照射野对计划靶区的覆盖情况及避开重要器官，保证靶区接受了均匀的处方剂量并避免重要器官受到过量的照射。</w:t>
      </w:r>
    </w:p>
    <w:p w14:paraId="5E0FC267">
      <w:pPr>
        <w:pStyle w:val="3"/>
        <w:rPr>
          <w:rFonts w:ascii="Times New Roman" w:hAnsi="Times New Roman" w:eastAsia="宋体"/>
        </w:rPr>
      </w:pPr>
      <w:bookmarkStart w:id="691" w:name="_Toc209125223"/>
      <w:r>
        <w:rPr>
          <w:rFonts w:ascii="Times New Roman" w:hAnsi="Times New Roman" w:eastAsia="宋体"/>
        </w:rPr>
        <w:t>辐射源项分析</w:t>
      </w:r>
      <w:bookmarkEnd w:id="408"/>
      <w:bookmarkEnd w:id="409"/>
      <w:bookmarkEnd w:id="691"/>
      <w:bookmarkStart w:id="692" w:name="_Toc487619877"/>
      <w:bookmarkEnd w:id="692"/>
      <w:bookmarkStart w:id="693" w:name="_Toc487528590"/>
      <w:bookmarkEnd w:id="693"/>
      <w:bookmarkStart w:id="694" w:name="_Toc487619878"/>
      <w:bookmarkEnd w:id="694"/>
      <w:bookmarkStart w:id="695" w:name="_Toc487528591"/>
      <w:bookmarkEnd w:id="695"/>
    </w:p>
    <w:p w14:paraId="1DA1D3F8">
      <w:pPr>
        <w:pStyle w:val="4"/>
        <w:rPr>
          <w:rFonts w:eastAsia="宋体"/>
        </w:rPr>
      </w:pPr>
      <w:bookmarkStart w:id="696" w:name="_Toc209125224"/>
      <w:r>
        <w:rPr>
          <w:rFonts w:eastAsia="宋体"/>
          <w:lang w:eastAsia="zh-CN"/>
        </w:rPr>
        <w:t>质子治疗系统</w:t>
      </w:r>
      <w:bookmarkEnd w:id="696"/>
    </w:p>
    <w:p w14:paraId="4DF0BD88">
      <w:pPr>
        <w:pStyle w:val="8"/>
        <w:rPr>
          <w:lang w:eastAsia="zh-CN"/>
        </w:rPr>
      </w:pPr>
      <w:bookmarkStart w:id="697" w:name="_Hlk176357031"/>
      <w:r>
        <w:rPr>
          <w:lang w:eastAsia="zh-CN"/>
        </w:rPr>
        <w:t>质子治疗系统</w:t>
      </w:r>
      <w:r>
        <w:t>运行过程中产生的辐射场，主要为装置运行时产生的“瞬发辐射场”和装置停机后依然存在的“残余辐射场”。</w:t>
      </w:r>
      <w:r>
        <w:rPr>
          <w:color w:val="auto"/>
        </w:rPr>
        <w:t>瞬发辐射是装置运行时损失的粒子束流与结构部件和治疗室内患者等发生核反应产生，特点是能量高、辐射强，但会随着装置的停机而完全消失；残余放射性主要来自与装置结构部件、冷却水、场所内空气等被束流或次级粒子轰击产生的活化产物，在装置停机后依然存在</w:t>
      </w:r>
      <w:r>
        <w:t>。</w:t>
      </w:r>
      <w:bookmarkEnd w:id="697"/>
    </w:p>
    <w:p w14:paraId="33125613">
      <w:pPr>
        <w:pStyle w:val="4"/>
        <w:rPr>
          <w:rFonts w:eastAsia="宋体"/>
        </w:rPr>
      </w:pPr>
      <w:bookmarkStart w:id="698" w:name="_Toc209125225"/>
      <w:r>
        <w:rPr>
          <w:rFonts w:eastAsia="宋体"/>
          <w:lang w:eastAsia="zh-CN"/>
        </w:rPr>
        <w:t>CT机</w:t>
      </w:r>
      <w:bookmarkEnd w:id="698"/>
    </w:p>
    <w:p w14:paraId="2E14D782">
      <w:pPr>
        <w:pStyle w:val="8"/>
      </w:pPr>
      <w:r>
        <w:t>使用模拟定位CT机期间，主要的放射性污染是X射线，仅在开机并处于出束状态时才会发出X射线。X射线贯穿机房的屏蔽体进入外环境中，将对工作人员和机房周围人员造成辐射影响。</w:t>
      </w:r>
    </w:p>
    <w:p w14:paraId="23E3449B">
      <w:pPr>
        <w:pStyle w:val="3"/>
        <w:rPr>
          <w:rFonts w:ascii="Times New Roman" w:hAnsi="Times New Roman" w:eastAsia="宋体"/>
        </w:rPr>
      </w:pPr>
      <w:bookmarkStart w:id="699" w:name="_Toc209125226"/>
      <w:r>
        <w:rPr>
          <w:rFonts w:ascii="Times New Roman" w:hAnsi="Times New Roman" w:eastAsia="宋体"/>
          <w:lang w:eastAsia="zh-CN"/>
        </w:rPr>
        <w:t>主要环境影响及其预测评价结果</w:t>
      </w:r>
      <w:bookmarkEnd w:id="699"/>
    </w:p>
    <w:p w14:paraId="104CA14B">
      <w:pPr>
        <w:pStyle w:val="8"/>
        <w:rPr>
          <w:lang w:val="en-US" w:eastAsia="zh-CN"/>
        </w:rPr>
      </w:pPr>
      <w:r>
        <w:rPr>
          <w:lang w:val="en-US" w:eastAsia="zh-CN"/>
        </w:rPr>
        <w:t>（1）屏蔽体外剂量率控制水平</w:t>
      </w:r>
    </w:p>
    <w:p w14:paraId="66D4767D">
      <w:pPr>
        <w:pStyle w:val="8"/>
        <w:rPr>
          <w:lang w:val="en-US" w:eastAsia="zh-CN"/>
        </w:rPr>
      </w:pPr>
      <w:r>
        <w:rPr>
          <w:lang w:val="en-US" w:eastAsia="zh-CN"/>
        </w:rPr>
        <w:t>根据屏蔽计算结果，质子治疗机房和CT机房屏蔽体外剂量率低于其剂量率控制水平。</w:t>
      </w:r>
    </w:p>
    <w:p w14:paraId="7FD274BF">
      <w:pPr>
        <w:pStyle w:val="8"/>
        <w:rPr>
          <w:lang w:val="en-US" w:eastAsia="zh-CN"/>
        </w:rPr>
      </w:pPr>
      <w:r>
        <w:rPr>
          <w:lang w:val="en-US" w:eastAsia="zh-CN"/>
        </w:rPr>
        <w:t>（2）工作人员</w:t>
      </w:r>
    </w:p>
    <w:p w14:paraId="47D5AD56">
      <w:pPr>
        <w:pStyle w:val="8"/>
        <w:rPr>
          <w:lang w:val="en-US" w:eastAsia="zh-CN"/>
        </w:rPr>
      </w:pPr>
      <w:r>
        <w:rPr>
          <w:lang w:val="en-US" w:eastAsia="zh-CN"/>
        </w:rPr>
        <w:t>经分析计算，本项目各类辐射工作人员的年最大受照剂量均低于其剂量约束值5mSv/a。</w:t>
      </w:r>
    </w:p>
    <w:p w14:paraId="6B679016">
      <w:pPr>
        <w:pStyle w:val="8"/>
        <w:rPr>
          <w:lang w:val="en-US" w:eastAsia="zh-CN"/>
        </w:rPr>
      </w:pPr>
      <w:r>
        <w:rPr>
          <w:lang w:val="en-US" w:eastAsia="zh-CN"/>
        </w:rPr>
        <w:t>（3）公众</w:t>
      </w:r>
    </w:p>
    <w:p w14:paraId="20EFA8BF">
      <w:pPr>
        <w:pStyle w:val="8"/>
        <w:rPr>
          <w:lang w:val="en-US" w:eastAsia="zh-CN"/>
        </w:rPr>
      </w:pPr>
      <w:r>
        <w:rPr>
          <w:lang w:val="en-US" w:eastAsia="zh-CN"/>
        </w:rPr>
        <w:t>经分析计算，本项目运行所致周围公众的年最大受照剂量低于其剂量约束值0.1mSv/a。</w:t>
      </w:r>
    </w:p>
    <w:p w14:paraId="0D569DD0">
      <w:pPr>
        <w:pStyle w:val="3"/>
        <w:rPr>
          <w:rFonts w:ascii="Times New Roman" w:hAnsi="Times New Roman" w:eastAsia="宋体"/>
        </w:rPr>
      </w:pPr>
      <w:bookmarkStart w:id="700" w:name="_Toc209125227"/>
      <w:r>
        <w:rPr>
          <w:rFonts w:ascii="Times New Roman" w:hAnsi="Times New Roman" w:eastAsia="宋体"/>
          <w:lang w:eastAsia="zh-CN"/>
        </w:rPr>
        <w:t>辐射防护与环境保护措施</w:t>
      </w:r>
      <w:bookmarkEnd w:id="700"/>
    </w:p>
    <w:p w14:paraId="4EF0E5DD">
      <w:pPr>
        <w:pStyle w:val="4"/>
        <w:rPr>
          <w:rFonts w:eastAsia="宋体"/>
          <w:lang w:eastAsia="zh-CN"/>
        </w:rPr>
      </w:pPr>
      <w:bookmarkStart w:id="701" w:name="_Toc209125228"/>
      <w:r>
        <w:rPr>
          <w:rFonts w:eastAsia="宋体"/>
          <w:lang w:eastAsia="zh-CN"/>
        </w:rPr>
        <w:t>辐射工作场所分区</w:t>
      </w:r>
      <w:bookmarkEnd w:id="701"/>
    </w:p>
    <w:p w14:paraId="4B907B5C">
      <w:pPr>
        <w:pStyle w:val="5"/>
      </w:pPr>
      <w:r>
        <w:rPr>
          <w:lang w:eastAsia="zh-CN"/>
        </w:rPr>
        <w:t>质子治疗系统</w:t>
      </w:r>
    </w:p>
    <w:p w14:paraId="79C9BCDB">
      <w:pPr>
        <w:pStyle w:val="8"/>
      </w:pPr>
      <w:r>
        <w:t>为便于辐射防护管理和职业照射控制，根据《电离辐射防护与辐射源安全基本标准》（GB18871-2002）的规定，应将辐射工作场所分为控制区和监督区。控制区是指需要和可能需要专门防护手段或安全措施的区域；监督区是指通常不需要专门的防护手段或安全措施，但需要经常对职业照射条件进行监督和评价的区域。本项目质子治疗系统辐射工作场所分区</w:t>
      </w:r>
      <w:r>
        <w:rPr>
          <w:lang w:eastAsia="zh-CN"/>
        </w:rPr>
        <w:t>具体描述如下：</w:t>
      </w:r>
    </w:p>
    <w:p w14:paraId="422E725D">
      <w:pPr>
        <w:pStyle w:val="8"/>
        <w:rPr>
          <w:lang w:eastAsia="zh-CN"/>
        </w:rPr>
      </w:pPr>
      <w:r>
        <w:rPr>
          <w:lang w:eastAsia="zh-CN"/>
        </w:rPr>
        <w:t>（1）控制区：质子治疗机房、活化水暂存间和固废间；</w:t>
      </w:r>
    </w:p>
    <w:p w14:paraId="3D4D533D">
      <w:pPr>
        <w:pStyle w:val="8"/>
        <w:rPr>
          <w:lang w:eastAsia="zh-CN"/>
        </w:rPr>
      </w:pPr>
      <w:r>
        <w:rPr>
          <w:lang w:eastAsia="zh-CN"/>
        </w:rPr>
        <w:t>（2）监督区：上述控制区屏蔽墙体外四周紧邻的场所。</w:t>
      </w:r>
    </w:p>
    <w:p w14:paraId="66013677">
      <w:pPr>
        <w:pStyle w:val="8"/>
        <w:rPr>
          <w:lang w:eastAsia="zh-CN"/>
        </w:rPr>
      </w:pPr>
      <w:r>
        <w:rPr>
          <w:rFonts w:hint="eastAsia"/>
          <w:lang w:eastAsia="zh-CN"/>
        </w:rPr>
        <w:t>此外，当工作人员在X射线影像亭工作时，该影像亭作为监督区管理。</w:t>
      </w:r>
    </w:p>
    <w:p w14:paraId="15D99E72">
      <w:pPr>
        <w:pStyle w:val="8"/>
        <w:rPr>
          <w:kern w:val="0"/>
          <w:lang w:eastAsia="zh-CN"/>
        </w:rPr>
      </w:pPr>
      <w:r>
        <w:rPr>
          <w:lang w:eastAsia="zh-CN"/>
        </w:rPr>
        <w:t>控制区管理要求：控制区入口处明显位置粘贴电离辐射警告标志，门禁列入安全联锁系统，装置运行期间禁止进入，仅经授权并解除联锁后才能进入控制区内，进入控制区的辐射工作人员必须佩戴个人剂量计和个人剂量报警仪。</w:t>
      </w:r>
    </w:p>
    <w:p w14:paraId="17D33EB8">
      <w:pPr>
        <w:pStyle w:val="8"/>
        <w:rPr>
          <w:lang w:eastAsia="zh-CN"/>
        </w:rPr>
      </w:pPr>
      <w:r>
        <w:t>监督区管理要求：监督区入口处设标牌表明监督区，进入监督区的辐射工作人员必须佩戴个人剂量计。</w:t>
      </w:r>
    </w:p>
    <w:p w14:paraId="2CED4887">
      <w:pPr>
        <w:pStyle w:val="8"/>
        <w:rPr>
          <w:kern w:val="0"/>
        </w:rPr>
      </w:pPr>
      <w:r>
        <w:rPr>
          <w:rStyle w:val="125"/>
          <w:lang w:eastAsia="zh-CN"/>
        </w:rPr>
        <w:t>在</w:t>
      </w:r>
      <w:r>
        <w:rPr>
          <w:kern w:val="0"/>
        </w:rPr>
        <w:t>质子治疗系统控制区的进出口设置如</w:t>
      </w:r>
      <w:r>
        <w:rPr>
          <w:kern w:val="0"/>
        </w:rPr>
        <w:fldChar w:fldCharType="begin"/>
      </w:r>
      <w:r>
        <w:rPr>
          <w:kern w:val="0"/>
        </w:rPr>
        <w:instrText xml:space="preserve"> REF _Ref21617462 \h  \* MERGEFORMAT </w:instrText>
      </w:r>
      <w:r>
        <w:rPr>
          <w:kern w:val="0"/>
        </w:rPr>
        <w:fldChar w:fldCharType="separate"/>
      </w:r>
      <w:r>
        <w:rPr>
          <w:kern w:val="0"/>
        </w:rPr>
        <w:t>图 3</w:t>
      </w:r>
      <w:r>
        <w:rPr>
          <w:kern w:val="0"/>
        </w:rPr>
        <w:noBreakHyphen/>
      </w:r>
      <w:r>
        <w:rPr>
          <w:kern w:val="0"/>
        </w:rPr>
        <w:t>18</w:t>
      </w:r>
      <w:r>
        <w:rPr>
          <w:kern w:val="0"/>
        </w:rPr>
        <w:fldChar w:fldCharType="end"/>
      </w:r>
      <w:r>
        <w:rPr>
          <w:kern w:val="0"/>
        </w:rPr>
        <w:t>中所示电离辐射警示标志，并给出辐射水平指示；在监督区的入口处的适当位置设置表明监督区的标牌。</w:t>
      </w:r>
    </w:p>
    <w:p w14:paraId="260439E3">
      <w:pPr>
        <w:jc w:val="center"/>
      </w:pPr>
      <w:r>
        <w:drawing>
          <wp:inline distT="0" distB="0" distL="0" distR="0">
            <wp:extent cx="3639185" cy="1649730"/>
            <wp:effectExtent l="0" t="0" r="0" b="7620"/>
            <wp:docPr id="1754294055" name="图片 1" descr="15656058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94055" name="图片 1" descr="1565605881(1)"/>
                    <pic:cNvPicPr>
                      <a:picLocks noChangeAspect="1" noChangeArrowheads="1"/>
                    </pic:cNvPicPr>
                  </pic:nvPicPr>
                  <pic:blipFill>
                    <a:blip r:embed="rId53">
                      <a:extLst>
                        <a:ext uri="{28A0092B-C50C-407E-A947-70E740481C1C}">
                          <a14:useLocalDpi xmlns:a14="http://schemas.microsoft.com/office/drawing/2010/main" val="0"/>
                        </a:ext>
                      </a:extLst>
                    </a:blip>
                    <a:srcRect t="12871" b="4568"/>
                    <a:stretch>
                      <a:fillRect/>
                    </a:stretch>
                  </pic:blipFill>
                  <pic:spPr>
                    <a:xfrm>
                      <a:off x="0" y="0"/>
                      <a:ext cx="3639185" cy="1649730"/>
                    </a:xfrm>
                    <a:prstGeom prst="rect">
                      <a:avLst/>
                    </a:prstGeom>
                    <a:noFill/>
                    <a:ln>
                      <a:noFill/>
                    </a:ln>
                  </pic:spPr>
                </pic:pic>
              </a:graphicData>
            </a:graphic>
          </wp:inline>
        </w:drawing>
      </w:r>
    </w:p>
    <w:p w14:paraId="6C3160B1">
      <w:pPr>
        <w:pStyle w:val="15"/>
        <w:ind w:right="720"/>
      </w:pPr>
      <w:bookmarkStart w:id="702" w:name="_Ref21617462"/>
      <w:bookmarkStart w:id="703" w:name="_Toc110613650"/>
      <w:bookmarkStart w:id="704" w:name="_Toc23257890"/>
      <w:bookmarkStart w:id="705" w:name="_Toc71533569"/>
      <w:bookmarkStart w:id="706" w:name="_Toc151477785"/>
      <w:r>
        <w:t xml:space="preserve">图 </w:t>
      </w:r>
      <w:r>
        <w:fldChar w:fldCharType="begin"/>
      </w:r>
      <w:r>
        <w:instrText xml:space="preserve"> STYLEREF 1 \s </w:instrText>
      </w:r>
      <w:r>
        <w:fldChar w:fldCharType="separate"/>
      </w:r>
      <w:r>
        <w:t>3</w:t>
      </w:r>
      <w:r>
        <w:fldChar w:fldCharType="end"/>
      </w:r>
      <w:r>
        <w:noBreakHyphen/>
      </w:r>
      <w:r>
        <w:fldChar w:fldCharType="begin"/>
      </w:r>
      <w:r>
        <w:instrText xml:space="preserve"> SEQ 图 \* ARABIC \s 1 </w:instrText>
      </w:r>
      <w:r>
        <w:fldChar w:fldCharType="separate"/>
      </w:r>
      <w:r>
        <w:t>18</w:t>
      </w:r>
      <w:r>
        <w:fldChar w:fldCharType="end"/>
      </w:r>
      <w:bookmarkEnd w:id="702"/>
      <w:r>
        <w:t xml:space="preserve"> 电离辐射警告标志</w:t>
      </w:r>
      <w:bookmarkEnd w:id="703"/>
      <w:bookmarkEnd w:id="704"/>
      <w:bookmarkEnd w:id="705"/>
      <w:bookmarkEnd w:id="706"/>
    </w:p>
    <w:p w14:paraId="62B49B04">
      <w:pPr>
        <w:pStyle w:val="5"/>
      </w:pPr>
      <w:r>
        <w:rPr>
          <w:lang w:eastAsia="zh-CN"/>
        </w:rPr>
        <w:t>CT机</w:t>
      </w:r>
    </w:p>
    <w:p w14:paraId="2A21F12A">
      <w:pPr>
        <w:pStyle w:val="8"/>
        <w:rPr>
          <w:lang w:eastAsia="zh-CN"/>
        </w:rPr>
      </w:pPr>
      <w:r>
        <w:rPr>
          <w:lang w:eastAsia="zh-CN"/>
        </w:rPr>
        <w:t>本项目1间CT检查室辐射工作场所按控制区、监督区进行管理。其中定位CT检查室为控制区，CT控制室、注射室、抢救室等CT检查室四周相邻场所为监督区。</w:t>
      </w:r>
    </w:p>
    <w:p w14:paraId="732DB1A5">
      <w:pPr>
        <w:pStyle w:val="8"/>
        <w:rPr>
          <w:lang w:eastAsia="zh-CN"/>
        </w:rPr>
      </w:pPr>
      <w:r>
        <w:rPr>
          <w:lang w:eastAsia="zh-CN"/>
        </w:rPr>
        <w:t>控制区管理要求：控制区入口处明显位置粘贴电离辐射警告标志，入口门和装置出束状态联锁，装置运行期间禁止进入。停机后进入控制区的辐射工作人员必须佩戴个人剂量计。</w:t>
      </w:r>
    </w:p>
    <w:p w14:paraId="3B04FB88">
      <w:pPr>
        <w:pStyle w:val="8"/>
        <w:rPr>
          <w:lang w:eastAsia="zh-CN"/>
        </w:rPr>
      </w:pPr>
      <w:r>
        <w:rPr>
          <w:lang w:eastAsia="zh-CN"/>
        </w:rPr>
        <w:t>监督区管理要求：监督区入口处设标牌表明监督区，边界处设置电离辐射警告标志，防止无关人员进入受到不必要的照射。进入监督区的辐射工作人员必须佩戴个人剂量计。</w:t>
      </w:r>
    </w:p>
    <w:p w14:paraId="38858BB4">
      <w:pPr>
        <w:pStyle w:val="4"/>
        <w:ind w:left="0" w:firstLine="0"/>
        <w:rPr>
          <w:rFonts w:eastAsia="宋体"/>
          <w:lang w:eastAsia="zh-CN"/>
        </w:rPr>
      </w:pPr>
      <w:bookmarkStart w:id="707" w:name="_Toc209125229"/>
      <w:r>
        <w:rPr>
          <w:rFonts w:eastAsia="宋体"/>
          <w:lang w:eastAsia="zh-CN"/>
        </w:rPr>
        <w:t>辐射屏蔽</w:t>
      </w:r>
      <w:bookmarkEnd w:id="707"/>
    </w:p>
    <w:p w14:paraId="764D5B25">
      <w:pPr>
        <w:pStyle w:val="5"/>
        <w:rPr>
          <w:lang w:eastAsia="zh-CN"/>
        </w:rPr>
      </w:pPr>
      <w:r>
        <w:rPr>
          <w:lang w:eastAsia="zh-CN"/>
        </w:rPr>
        <w:t>设计标准</w:t>
      </w:r>
    </w:p>
    <w:p w14:paraId="374F983F">
      <w:pPr>
        <w:pStyle w:val="8"/>
      </w:pPr>
      <w:r>
        <w:t>质子治疗系统工作场所辐射屏蔽设计时，主要依据的设计标准如下：</w:t>
      </w:r>
    </w:p>
    <w:p w14:paraId="03908C8C">
      <w:pPr>
        <w:pStyle w:val="8"/>
      </w:pPr>
      <w:r>
        <w:t>（1）年剂量约束值</w:t>
      </w:r>
    </w:p>
    <w:p w14:paraId="5B6C7A4D">
      <w:pPr>
        <w:pStyle w:val="8"/>
      </w:pPr>
      <w:r>
        <w:t>执行《放射治疗辐射安全与防护要求》（HJ1198-2021）：工作人员职业照射的剂量约束值为5 mSv/a，公众照射的剂量约束值不超过0.1 mSv/a。</w:t>
      </w:r>
    </w:p>
    <w:p w14:paraId="6B9CB296">
      <w:pPr>
        <w:pStyle w:val="8"/>
      </w:pPr>
      <w:r>
        <w:t>（2）屏蔽体外剂量率控制水平</w:t>
      </w:r>
    </w:p>
    <w:p w14:paraId="266F1A78">
      <w:pPr>
        <w:pStyle w:val="8"/>
      </w:pPr>
      <w:r>
        <w:t>质子治疗系统机房屏蔽体外各关注点处的剂量率应不高于</w:t>
      </w:r>
      <w:r>
        <w:fldChar w:fldCharType="begin"/>
      </w:r>
      <w:r>
        <w:instrText xml:space="preserve"> REF _Ref146721349 \h  \* MERGEFORMAT </w:instrText>
      </w:r>
      <w:r>
        <w:fldChar w:fldCharType="separate"/>
      </w:r>
      <w:r>
        <w:t>表 1</w:t>
      </w:r>
      <w:r>
        <w:noBreakHyphen/>
      </w:r>
      <w:r>
        <w:t>4</w:t>
      </w:r>
      <w:r>
        <w:fldChar w:fldCharType="end"/>
      </w:r>
      <w:r>
        <w:t>中给出的剂量率控制水平。</w:t>
      </w:r>
    </w:p>
    <w:p w14:paraId="185FE344">
      <w:pPr>
        <w:pStyle w:val="5"/>
        <w:rPr>
          <w:lang w:eastAsia="zh-CN"/>
        </w:rPr>
      </w:pPr>
      <w:r>
        <w:rPr>
          <w:lang w:eastAsia="zh-CN"/>
        </w:rPr>
        <w:t>屏蔽体外剂量率计算结果</w:t>
      </w:r>
    </w:p>
    <w:p w14:paraId="60D43CE3">
      <w:pPr>
        <w:pStyle w:val="8"/>
      </w:pPr>
      <w:r>
        <w:t>通过采用FLUKA程序模拟计算，本项目现有的辐射屏蔽设计方案能够确保屏蔽体外辐射水平均满足其设计的控制水平。</w:t>
      </w:r>
    </w:p>
    <w:p w14:paraId="5124527E">
      <w:pPr>
        <w:pStyle w:val="4"/>
        <w:rPr>
          <w:rFonts w:eastAsia="宋体"/>
        </w:rPr>
      </w:pPr>
      <w:bookmarkStart w:id="708" w:name="_Toc71554632"/>
      <w:bookmarkStart w:id="709" w:name="_Toc209125230"/>
      <w:r>
        <w:rPr>
          <w:rFonts w:eastAsia="宋体"/>
        </w:rPr>
        <w:t>辐射安全与防护措施</w:t>
      </w:r>
      <w:bookmarkEnd w:id="708"/>
      <w:bookmarkEnd w:id="709"/>
    </w:p>
    <w:p w14:paraId="797D7AD2">
      <w:pPr>
        <w:pStyle w:val="5"/>
      </w:pPr>
      <w:r>
        <w:t>人身安全联锁系统</w:t>
      </w:r>
    </w:p>
    <w:p w14:paraId="5DDDBC54">
      <w:pPr>
        <w:pStyle w:val="6"/>
      </w:pPr>
      <w:r>
        <w:t>设计准则</w:t>
      </w:r>
    </w:p>
    <w:p w14:paraId="70C6DCDE">
      <w:pPr>
        <w:pStyle w:val="8"/>
      </w:pPr>
      <w:bookmarkStart w:id="710" w:name="_Hlk176359746"/>
      <w:r>
        <w:t>质子治疗系统人身安全联锁系统设计时，遵循以下原则：</w:t>
      </w:r>
    </w:p>
    <w:p w14:paraId="1814191A">
      <w:pPr>
        <w:pStyle w:val="8"/>
      </w:pPr>
      <w:r>
        <w:t>（1）纵深防御：充分考虑并合理设置联锁设施实现对人身辐射安全的多重冗余保护且各重保护措施之间具有相互独立性，不会因为一套系统的失效而影响到其他系统的安全性；</w:t>
      </w:r>
    </w:p>
    <w:p w14:paraId="5613B603">
      <w:pPr>
        <w:pStyle w:val="8"/>
        <w:ind w:firstLineChars="0"/>
      </w:pPr>
      <w:r>
        <w:t>（2）硬件最可靠：重要的位置把最大的信赖寄托在“硬件”上。</w:t>
      </w:r>
    </w:p>
    <w:p w14:paraId="4D3A7A70">
      <w:pPr>
        <w:pStyle w:val="8"/>
        <w:ind w:firstLineChars="0"/>
      </w:pPr>
      <w:r>
        <w:t>（3）最优切断：联锁系统应切断加速器最初始的运行功能（离子源高压），更好的保证区域内的辐射安全。</w:t>
      </w:r>
    </w:p>
    <w:p w14:paraId="5778035C">
      <w:pPr>
        <w:pStyle w:val="8"/>
        <w:ind w:firstLineChars="0"/>
      </w:pPr>
      <w:r>
        <w:t>（4）失效保护设计：关键联锁部件及联锁系统失效时，相应联锁控制区域仍处于安全状态。</w:t>
      </w:r>
    </w:p>
    <w:p w14:paraId="3225D71C">
      <w:pPr>
        <w:pStyle w:val="8"/>
        <w:ind w:firstLineChars="0"/>
      </w:pPr>
      <w:r>
        <w:t>（5）自锁：联锁系统主要环节有自锁功能，即一旦联锁从该处实施切断，现场辐射安全人员必须到现场检查，确保不安全因素已排出后再手动进行“复位”。</w:t>
      </w:r>
    </w:p>
    <w:p w14:paraId="136C7EC2">
      <w:pPr>
        <w:pStyle w:val="8"/>
        <w:rPr>
          <w:lang w:eastAsia="zh-CN"/>
        </w:rPr>
      </w:pPr>
      <w:r>
        <w:t>（6）安全联锁装置不得旁路，维修维护后必须恢复原状。任何联锁旁路应通过管理制度进行审批，并在医院辐射安全管理机构的见证下进行，工作完成后应及时进行联锁恢复及功能测试。</w:t>
      </w:r>
      <w:bookmarkEnd w:id="710"/>
    </w:p>
    <w:p w14:paraId="4F685FC7">
      <w:pPr>
        <w:pStyle w:val="6"/>
      </w:pPr>
      <w:r>
        <w:rPr>
          <w:lang w:eastAsia="zh-CN"/>
        </w:rPr>
        <w:t>系统结构和功能</w:t>
      </w:r>
    </w:p>
    <w:p w14:paraId="5D256483">
      <w:pPr>
        <w:pStyle w:val="8"/>
      </w:pPr>
      <w:r>
        <w:t>质子治疗系统人身安全联锁系统的主要功能是保护进入治疗机房内部的人员免受辐射危害。系统的设计遵循模块化、冗余及独立安全的原则，考虑了整个系统的使用流程、工作流程及操作状态，且由于其与控制系统之间唯一的交互即为接收并发送状态信息，使得人身安全联锁系统独立于其他控制系统运行，能最大限度的降低在各种情况下的风险。</w:t>
      </w:r>
    </w:p>
    <w:p w14:paraId="7E8DCD97">
      <w:pPr>
        <w:pStyle w:val="8"/>
      </w:pPr>
      <w:r>
        <w:t>人身安全联锁系统采用可编程控制技术、门禁控制技术及自动门技术、集散式控制技术、计算机网络与通讯技术、探测与数据处理技术、设备自诊断与自恢复技术等，对质子治疗系统的各联锁部件进行实时监测，并将信号输入安全联锁系统，只有在联锁条件全部满足的情况下，才允许束流的产生和加速。人身安全联锁系统的结构如</w:t>
      </w:r>
      <w:r>
        <w:fldChar w:fldCharType="begin"/>
      </w:r>
      <w:r>
        <w:instrText xml:space="preserve"> REF _Ref37665718 \h  \* MERGEFORMAT </w:instrText>
      </w:r>
      <w:r>
        <w:fldChar w:fldCharType="separate"/>
      </w:r>
      <w:r>
        <w:t>图 3</w:t>
      </w:r>
      <w:r>
        <w:noBreakHyphen/>
      </w:r>
      <w:r>
        <w:t>19</w:t>
      </w:r>
      <w:r>
        <w:fldChar w:fldCharType="end"/>
      </w:r>
      <w:r>
        <w:t>所示。</w:t>
      </w:r>
    </w:p>
    <w:p w14:paraId="211513D7">
      <w:pPr>
        <w:pStyle w:val="8"/>
        <w:keepNext/>
        <w:ind w:firstLine="0" w:firstLineChars="0"/>
        <w:jc w:val="center"/>
      </w:pPr>
      <w:r>
        <w:rPr>
          <w:lang w:val="en-US"/>
        </w:rPr>
        <w:drawing>
          <wp:inline distT="0" distB="0" distL="0" distR="0">
            <wp:extent cx="3696335" cy="327723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3700019" cy="3280361"/>
                    </a:xfrm>
                    <a:prstGeom prst="rect">
                      <a:avLst/>
                    </a:prstGeom>
                    <a:noFill/>
                    <a:ln>
                      <a:noFill/>
                    </a:ln>
                  </pic:spPr>
                </pic:pic>
              </a:graphicData>
            </a:graphic>
          </wp:inline>
        </w:drawing>
      </w:r>
    </w:p>
    <w:p w14:paraId="6DEF493B">
      <w:pPr>
        <w:pStyle w:val="15"/>
        <w:rPr>
          <w:color w:val="000000"/>
        </w:rPr>
      </w:pPr>
      <w:bookmarkStart w:id="711" w:name="_Ref37665718"/>
      <w:bookmarkStart w:id="712" w:name="_Toc94259025"/>
      <w:bookmarkStart w:id="713" w:name="_Toc77839721"/>
      <w:bookmarkStart w:id="714" w:name="_Toc62148627"/>
      <w:r>
        <w:rPr>
          <w:color w:val="000000"/>
        </w:rPr>
        <w:t xml:space="preserve">图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图 \* ARABIC \s 1 </w:instrText>
      </w:r>
      <w:r>
        <w:rPr>
          <w:color w:val="000000"/>
        </w:rPr>
        <w:fldChar w:fldCharType="separate"/>
      </w:r>
      <w:r>
        <w:rPr>
          <w:color w:val="000000"/>
        </w:rPr>
        <w:t>19</w:t>
      </w:r>
      <w:r>
        <w:rPr>
          <w:color w:val="000000"/>
        </w:rPr>
        <w:fldChar w:fldCharType="end"/>
      </w:r>
      <w:bookmarkEnd w:id="711"/>
      <w:r>
        <w:rPr>
          <w:color w:val="000000"/>
        </w:rPr>
        <w:t xml:space="preserve"> 人身安全联锁系统结构示意图</w:t>
      </w:r>
      <w:bookmarkEnd w:id="712"/>
      <w:bookmarkEnd w:id="713"/>
      <w:bookmarkEnd w:id="714"/>
    </w:p>
    <w:p w14:paraId="14A230B0">
      <w:pPr>
        <w:pStyle w:val="6"/>
        <w:rPr>
          <w:lang w:eastAsia="zh-CN"/>
        </w:rPr>
      </w:pPr>
      <w:r>
        <w:rPr>
          <w:lang w:eastAsia="zh-CN"/>
        </w:rPr>
        <w:t>系统组成</w:t>
      </w:r>
    </w:p>
    <w:p w14:paraId="7F22F8F0">
      <w:pPr>
        <w:pStyle w:val="8"/>
        <w:rPr>
          <w:color w:val="auto"/>
        </w:rPr>
      </w:pPr>
      <w:r>
        <w:rPr>
          <w:lang w:eastAsia="zh-CN"/>
        </w:rPr>
        <w:t>质子治疗系统的人身安全联锁系统主要由PLC、出入管理设备、急停开关、清场按钮、声光报警器等组成。PLC可以收到各个联锁装置的状态情况，并通过现场总线和主控PLC进行通信，得知哪些主要设备在工作，治疗机房内是否有束流供给，一旦出现与安全逻辑相冲突的事件，安全PLC就触发一系列保护动作包括停止束流和发出警报。</w:t>
      </w:r>
    </w:p>
    <w:p w14:paraId="7C2D97A9">
      <w:pPr>
        <w:pStyle w:val="5"/>
        <w:rPr>
          <w:lang w:eastAsia="zh-CN"/>
        </w:rPr>
      </w:pPr>
      <w:bookmarkStart w:id="715" w:name="_Toc71554643"/>
      <w:r>
        <w:rPr>
          <w:lang w:eastAsia="zh-CN"/>
        </w:rPr>
        <w:t>场所辐射监测系统</w:t>
      </w:r>
    </w:p>
    <w:p w14:paraId="17E59442">
      <w:pPr>
        <w:pStyle w:val="8"/>
      </w:pPr>
      <w:r>
        <w:t>质子治疗系统的场所辐射监测系统主要负责工作场所的监测，由固定安装探测器、数据采集单元、内部局域网、监控计算机、中心管理计算机与辐射防护数据库组成，如</w:t>
      </w:r>
      <w:r>
        <w:fldChar w:fldCharType="begin"/>
      </w:r>
      <w:r>
        <w:instrText xml:space="preserve"> REF _Ref21617250 \h  \* MERGEFORMAT </w:instrText>
      </w:r>
      <w:r>
        <w:fldChar w:fldCharType="separate"/>
      </w:r>
      <w:r>
        <w:t>图3</w:t>
      </w:r>
      <w:r>
        <w:noBreakHyphen/>
      </w:r>
      <w:r>
        <w:t>20</w:t>
      </w:r>
      <w:r>
        <w:fldChar w:fldCharType="end"/>
      </w:r>
      <w:r>
        <w:t>所示。探测器用于测量辐射水平；数据采集单元用于采集探测器的输出信号和完成信号的加权处理、剂量率显示、本地报警及通讯；内部局域网是探测器和监控计算机进行通讯的媒介；监控计算机用于完成监测数据的日常分析与管理；中心管理计算机用于发布剂量监测数据；辐射防护数据库用于存储剂量数据，存储探测器测得的实时剂量数据，包括剂量率、测量时间、监测点代号、测量辐射类型（γ/中子）。</w:t>
      </w:r>
    </w:p>
    <w:p w14:paraId="5D757081">
      <w:pPr>
        <w:pStyle w:val="8"/>
        <w:keepNext/>
        <w:ind w:firstLine="0" w:firstLineChars="0"/>
        <w:jc w:val="center"/>
        <w:rPr>
          <w:lang w:val="en-US"/>
        </w:rPr>
      </w:pPr>
      <w:r>
        <w:rPr>
          <w:lang w:val="en-US"/>
        </w:rPr>
        <w:drawing>
          <wp:inline distT="0" distB="0" distL="0" distR="0">
            <wp:extent cx="3739515" cy="2440940"/>
            <wp:effectExtent l="0" t="0" r="0" b="0"/>
            <wp:docPr id="6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739515" cy="2440940"/>
                    </a:xfrm>
                    <a:prstGeom prst="rect">
                      <a:avLst/>
                    </a:prstGeom>
                    <a:noFill/>
                    <a:ln>
                      <a:noFill/>
                    </a:ln>
                  </pic:spPr>
                </pic:pic>
              </a:graphicData>
            </a:graphic>
          </wp:inline>
        </w:drawing>
      </w:r>
    </w:p>
    <w:p w14:paraId="38EB8011">
      <w:pPr>
        <w:pStyle w:val="15"/>
        <w:rPr>
          <w:bCs/>
          <w:color w:val="000000"/>
        </w:rPr>
      </w:pPr>
      <w:bookmarkStart w:id="716" w:name="_Ref21617250"/>
      <w:bookmarkStart w:id="717" w:name="_Toc62148636"/>
      <w:bookmarkStart w:id="718" w:name="_Toc34738529"/>
      <w:bookmarkStart w:id="719" w:name="_Toc77839730"/>
      <w:bookmarkStart w:id="720" w:name="_Toc94259036"/>
      <w:r>
        <w:rPr>
          <w:bCs/>
          <w:color w:val="000000"/>
        </w:rPr>
        <w:t>图</w:t>
      </w:r>
      <w:r>
        <w:rPr>
          <w:bCs/>
          <w:color w:val="000000"/>
        </w:rPr>
        <w:fldChar w:fldCharType="begin"/>
      </w:r>
      <w:r>
        <w:rPr>
          <w:bCs/>
          <w:color w:val="000000"/>
        </w:rPr>
        <w:instrText xml:space="preserve"> STYLEREF 1 \s </w:instrText>
      </w:r>
      <w:r>
        <w:rPr>
          <w:bCs/>
          <w:color w:val="000000"/>
        </w:rPr>
        <w:fldChar w:fldCharType="separate"/>
      </w:r>
      <w:r>
        <w:rPr>
          <w:bCs/>
          <w:color w:val="000000"/>
        </w:rPr>
        <w:t>3</w:t>
      </w:r>
      <w:r>
        <w:rPr>
          <w:bCs/>
          <w:color w:val="000000"/>
        </w:rPr>
        <w:fldChar w:fldCharType="end"/>
      </w:r>
      <w:r>
        <w:rPr>
          <w:bCs/>
          <w:color w:val="000000"/>
        </w:rPr>
        <w:noBreakHyphen/>
      </w:r>
      <w:r>
        <w:rPr>
          <w:bCs/>
          <w:color w:val="000000"/>
        </w:rPr>
        <w:fldChar w:fldCharType="begin"/>
      </w:r>
      <w:r>
        <w:rPr>
          <w:bCs/>
          <w:color w:val="000000"/>
        </w:rPr>
        <w:instrText xml:space="preserve"> SEQ 图 \* ARABIC \s 1 </w:instrText>
      </w:r>
      <w:r>
        <w:rPr>
          <w:bCs/>
          <w:color w:val="000000"/>
        </w:rPr>
        <w:fldChar w:fldCharType="separate"/>
      </w:r>
      <w:r>
        <w:rPr>
          <w:bCs/>
          <w:color w:val="000000"/>
        </w:rPr>
        <w:t>20</w:t>
      </w:r>
      <w:r>
        <w:rPr>
          <w:bCs/>
          <w:color w:val="000000"/>
        </w:rPr>
        <w:fldChar w:fldCharType="end"/>
      </w:r>
      <w:bookmarkEnd w:id="716"/>
      <w:r>
        <w:rPr>
          <w:bCs/>
          <w:color w:val="000000"/>
        </w:rPr>
        <w:t xml:space="preserve"> 质子治疗系统场所辐射监测系统结构</w:t>
      </w:r>
      <w:bookmarkEnd w:id="717"/>
      <w:bookmarkEnd w:id="718"/>
      <w:bookmarkEnd w:id="719"/>
      <w:bookmarkEnd w:id="720"/>
    </w:p>
    <w:p w14:paraId="1230EB58">
      <w:pPr>
        <w:pStyle w:val="4"/>
        <w:rPr>
          <w:rFonts w:eastAsia="宋体"/>
        </w:rPr>
      </w:pPr>
      <w:bookmarkStart w:id="721" w:name="_Toc209125231"/>
      <w:r>
        <w:rPr>
          <w:rFonts w:eastAsia="宋体"/>
          <w:lang w:eastAsia="zh-CN"/>
        </w:rPr>
        <w:t>放射性三废处理</w:t>
      </w:r>
      <w:bookmarkEnd w:id="721"/>
    </w:p>
    <w:p w14:paraId="1978322B">
      <w:pPr>
        <w:pStyle w:val="5"/>
      </w:pPr>
      <w:r>
        <w:rPr>
          <w:lang w:eastAsia="zh-CN"/>
        </w:rPr>
        <w:t>放射性废气</w:t>
      </w:r>
    </w:p>
    <w:p w14:paraId="5379F53F">
      <w:pPr>
        <w:pStyle w:val="8"/>
        <w:rPr>
          <w:lang w:val="pt-BR"/>
        </w:rPr>
      </w:pPr>
      <w:r>
        <w:t>质子治疗系统运行期间将产生感生放射性气体，其主要放射性核素为</w:t>
      </w:r>
      <w:r>
        <w:rPr>
          <w:vertAlign w:val="superscript"/>
        </w:rPr>
        <w:t>13</w:t>
      </w:r>
      <w:r>
        <w:t>N（</w:t>
      </w:r>
      <w:r>
        <w:rPr>
          <w:lang w:val="pt-BR"/>
        </w:rPr>
        <w:t>T</w:t>
      </w:r>
      <w:r>
        <w:rPr>
          <w:vertAlign w:val="subscript"/>
          <w:lang w:val="pt-BR"/>
        </w:rPr>
        <w:t>1/2</w:t>
      </w:r>
      <w:r>
        <w:rPr>
          <w:lang w:val="pt-BR"/>
        </w:rPr>
        <w:t>[</w:t>
      </w:r>
      <w:r>
        <w:rPr>
          <w:vertAlign w:val="superscript"/>
          <w:lang w:val="pt-BR"/>
        </w:rPr>
        <w:t>13</w:t>
      </w:r>
      <w:r>
        <w:rPr>
          <w:lang w:val="pt-BR"/>
        </w:rPr>
        <w:t>N]=9.965min）</w:t>
      </w:r>
      <w:r>
        <w:t>、</w:t>
      </w:r>
      <w:r>
        <w:rPr>
          <w:vertAlign w:val="superscript"/>
        </w:rPr>
        <w:t>15</w:t>
      </w:r>
      <w:r>
        <w:t>O（</w:t>
      </w:r>
      <w:r>
        <w:rPr>
          <w:lang w:val="pt-BR"/>
        </w:rPr>
        <w:t>T</w:t>
      </w:r>
      <w:r>
        <w:rPr>
          <w:vertAlign w:val="subscript"/>
          <w:lang w:val="pt-BR"/>
        </w:rPr>
        <w:t>1/2</w:t>
      </w:r>
      <w:r>
        <w:rPr>
          <w:lang w:val="pt-BR"/>
        </w:rPr>
        <w:t>[</w:t>
      </w:r>
      <w:r>
        <w:rPr>
          <w:vertAlign w:val="superscript"/>
          <w:lang w:val="pt-BR"/>
        </w:rPr>
        <w:t>15</w:t>
      </w:r>
      <w:r>
        <w:rPr>
          <w:lang w:val="pt-BR"/>
        </w:rPr>
        <w:t>O]=2.037min）</w:t>
      </w:r>
      <w:r>
        <w:t>、</w:t>
      </w:r>
      <w:r>
        <w:rPr>
          <w:vertAlign w:val="superscript"/>
        </w:rPr>
        <w:t>11</w:t>
      </w:r>
      <w:r>
        <w:t>C（</w:t>
      </w:r>
      <w:r>
        <w:rPr>
          <w:lang w:val="pt-BR"/>
        </w:rPr>
        <w:t>T</w:t>
      </w:r>
      <w:r>
        <w:rPr>
          <w:vertAlign w:val="subscript"/>
          <w:lang w:val="pt-BR"/>
        </w:rPr>
        <w:t>1/2</w:t>
      </w:r>
      <w:r>
        <w:rPr>
          <w:lang w:val="pt-BR"/>
        </w:rPr>
        <w:t>[</w:t>
      </w:r>
      <w:r>
        <w:rPr>
          <w:vertAlign w:val="superscript"/>
          <w:lang w:val="pt-BR"/>
        </w:rPr>
        <w:t>11</w:t>
      </w:r>
      <w:r>
        <w:rPr>
          <w:lang w:val="pt-BR"/>
        </w:rPr>
        <w:t>C]=20.39min）</w:t>
      </w:r>
      <w:r>
        <w:t>和</w:t>
      </w:r>
      <w:r>
        <w:rPr>
          <w:vertAlign w:val="superscript"/>
        </w:rPr>
        <w:t>41</w:t>
      </w:r>
      <w:r>
        <w:t>Ar（</w:t>
      </w:r>
      <w:r>
        <w:rPr>
          <w:lang w:val="pt-BR"/>
        </w:rPr>
        <w:t>T</w:t>
      </w:r>
      <w:r>
        <w:rPr>
          <w:vertAlign w:val="subscript"/>
          <w:lang w:val="pt-BR"/>
        </w:rPr>
        <w:t>1/2</w:t>
      </w:r>
      <w:r>
        <w:rPr>
          <w:lang w:val="pt-BR"/>
        </w:rPr>
        <w:t>[</w:t>
      </w:r>
      <w:r>
        <w:rPr>
          <w:vertAlign w:val="superscript"/>
        </w:rPr>
        <w:t>41</w:t>
      </w:r>
      <w:r>
        <w:t>Ar</w:t>
      </w:r>
      <w:r>
        <w:rPr>
          <w:lang w:val="pt-BR"/>
        </w:rPr>
        <w:t>]=1.8h）</w:t>
      </w:r>
      <w:r>
        <w:rPr>
          <w:lang w:val="pt-BR" w:eastAsia="zh-CN"/>
        </w:rPr>
        <w:t>。</w:t>
      </w:r>
      <w:r>
        <w:t>质子治疗系统运行产生的气态感生放射性核素均为短半衰期核素，经过一段时间后可自行衰变至较低水平。质子治疗机房的</w:t>
      </w:r>
      <w:r>
        <w:rPr>
          <w:lang w:eastAsia="zh-CN"/>
        </w:rPr>
        <w:t>机架区</w:t>
      </w:r>
      <w:r>
        <w:t>和</w:t>
      </w:r>
      <w:r>
        <w:rPr>
          <w:lang w:eastAsia="zh-CN"/>
        </w:rPr>
        <w:t>治疗</w:t>
      </w:r>
      <w:r>
        <w:t>区均设有排风管道，装置运行过程中产生的感生放射性气体</w:t>
      </w:r>
      <w:r>
        <w:rPr>
          <w:lang w:eastAsia="zh-CN"/>
        </w:rPr>
        <w:t>经</w:t>
      </w:r>
      <w:r>
        <w:t>由屋面排入环境。考虑到其排入大气后的扩散和稀释，结合计算结果，其对环境的影响很小。</w:t>
      </w:r>
    </w:p>
    <w:p w14:paraId="09A96DE5">
      <w:pPr>
        <w:pStyle w:val="5"/>
      </w:pPr>
      <w:r>
        <w:rPr>
          <w:lang w:eastAsia="zh-CN"/>
        </w:rPr>
        <w:t>放射性废水</w:t>
      </w:r>
    </w:p>
    <w:p w14:paraId="45FBD583">
      <w:pPr>
        <w:pStyle w:val="8"/>
        <w:rPr>
          <w:lang w:eastAsia="zh-CN"/>
        </w:rPr>
      </w:pPr>
      <w:r>
        <w:t>本项目产生的放射性废</w:t>
      </w:r>
      <w:r>
        <w:rPr>
          <w:lang w:eastAsia="zh-CN"/>
        </w:rPr>
        <w:t>水</w:t>
      </w:r>
      <w:r>
        <w:t>主要是活化的冷却水。</w:t>
      </w:r>
    </w:p>
    <w:p w14:paraId="1403F383">
      <w:pPr>
        <w:pStyle w:val="8"/>
      </w:pPr>
      <w:r>
        <w:t>正常运行情况下，设备冷却水闭路循环不排放，只是在设备检修或发生冷却水泄漏事故时才需要排放。本项目在质子治疗机房东侧设有活化水暂存池，有效容积为</w:t>
      </w:r>
      <w:r>
        <w:rPr>
          <w:lang w:eastAsia="zh-CN"/>
        </w:rPr>
        <w:t>2</w:t>
      </w:r>
      <w:r>
        <w:t>m</w:t>
      </w:r>
      <w:r>
        <w:rPr>
          <w:vertAlign w:val="superscript"/>
        </w:rPr>
        <w:t>3</w:t>
      </w:r>
      <w:r>
        <w:t>，用于暂存更换下来的冷却水。可能被活化的冷却水回路中总水量约为0.</w:t>
      </w:r>
      <w:r>
        <w:rPr>
          <w:lang w:eastAsia="zh-CN"/>
        </w:rPr>
        <w:t>16</w:t>
      </w:r>
      <w:r>
        <w:t>m</w:t>
      </w:r>
      <w:r>
        <w:rPr>
          <w:vertAlign w:val="superscript"/>
        </w:rPr>
        <w:t>3</w:t>
      </w:r>
      <w:r>
        <w:t>，每年最多检修排放次数为2次，年最大排放量为0.</w:t>
      </w:r>
      <w:r>
        <w:rPr>
          <w:lang w:eastAsia="zh-CN"/>
        </w:rPr>
        <w:t>32</w:t>
      </w:r>
      <w:r>
        <w:t>m</w:t>
      </w:r>
      <w:r>
        <w:rPr>
          <w:vertAlign w:val="superscript"/>
        </w:rPr>
        <w:t>3</w:t>
      </w:r>
      <w:r>
        <w:t>，因此该</w:t>
      </w:r>
      <w:r>
        <w:rPr>
          <w:lang w:eastAsia="zh-CN"/>
        </w:rPr>
        <w:t>暂存池</w:t>
      </w:r>
      <w:r>
        <w:t>能够满足活化冷却水的暂存要求。</w:t>
      </w:r>
      <w:r>
        <w:rPr>
          <w:lang w:eastAsia="zh-CN"/>
        </w:rPr>
        <w:t>暂存池</w:t>
      </w:r>
      <w:r>
        <w:t>通过管道与质子治疗机房的地漏相连，</w:t>
      </w:r>
      <w:r>
        <w:rPr>
          <w:lang w:eastAsia="zh-CN"/>
        </w:rPr>
        <w:t>活化水</w:t>
      </w:r>
      <w:r>
        <w:t>通过机房内地漏排入</w:t>
      </w:r>
      <w:r>
        <w:rPr>
          <w:lang w:eastAsia="zh-CN"/>
        </w:rPr>
        <w:t>暂存池</w:t>
      </w:r>
      <w:r>
        <w:t>内暂存。</w:t>
      </w:r>
    </w:p>
    <w:p w14:paraId="76A19FBC">
      <w:pPr>
        <w:pStyle w:val="8"/>
      </w:pPr>
      <w:r>
        <w:rPr>
          <w:szCs w:val="21"/>
          <w:lang w:eastAsia="zh-CN"/>
        </w:rPr>
        <w:t>暂存池</w:t>
      </w:r>
      <w:r>
        <w:rPr>
          <w:szCs w:val="21"/>
        </w:rPr>
        <w:t>上设有取样口，活化的冷却水在排放前必须进行取样测量，</w:t>
      </w:r>
      <w:r>
        <w:t>满足“1.4.</w:t>
      </w:r>
      <w:r>
        <w:rPr>
          <w:lang w:eastAsia="zh-CN"/>
        </w:rPr>
        <w:t>3</w:t>
      </w:r>
      <w:r>
        <w:t>.</w:t>
      </w:r>
      <w:r>
        <w:rPr>
          <w:lang w:eastAsia="zh-CN"/>
        </w:rPr>
        <w:t>2</w:t>
      </w:r>
      <w:r>
        <w:t>节”所列中放射性废水排放标准，</w:t>
      </w:r>
      <w:r>
        <w:rPr>
          <w:szCs w:val="21"/>
        </w:rPr>
        <w:t>方可排放。</w:t>
      </w:r>
      <w:r>
        <w:rPr>
          <w:lang w:eastAsia="zh-CN"/>
        </w:rPr>
        <w:t>暂存池</w:t>
      </w:r>
      <w:r>
        <w:t>设有管道与医院污水管网相连，且配备手动启动的排水泵，需要排放时手动开启排水泵，通过管道将冷却水排入医院污水管网。每次排放需记录存档，记录废水来源、排放量、活度浓度监测结果、排放去向等信息。</w:t>
      </w:r>
    </w:p>
    <w:p w14:paraId="3179E383">
      <w:pPr>
        <w:pStyle w:val="8"/>
      </w:pPr>
      <w:r>
        <w:t>综上所述，质子治疗系统正常运行时不会产生放射性废水，检修或发生泄漏的情况下可能排放的冷却水活度远低于排放限值，且采取了有效的废水收集和暂存措施。因此，放射性废液对环境的影响很小。</w:t>
      </w:r>
    </w:p>
    <w:p w14:paraId="0A14D70C">
      <w:pPr>
        <w:pStyle w:val="5"/>
        <w:rPr>
          <w:lang w:eastAsia="zh-CN"/>
        </w:rPr>
      </w:pPr>
      <w:r>
        <w:rPr>
          <w:lang w:eastAsia="zh-CN"/>
        </w:rPr>
        <w:t>放射性固体废物</w:t>
      </w:r>
    </w:p>
    <w:p w14:paraId="0A8FC3F9">
      <w:pPr>
        <w:pStyle w:val="8"/>
        <w:rPr>
          <w:highlight w:val="yellow"/>
        </w:rPr>
      </w:pPr>
      <w:r>
        <w:t>参照国外同类型质子治疗系统的运行经验，质子治疗系统运行期间产生的主要放射性固体废物为维护维修期间更换下来的一些易损易活化的结构部件，主要部件名称和最大年产生量列于</w:t>
      </w:r>
      <w:r>
        <w:fldChar w:fldCharType="begin"/>
      </w:r>
      <w:r>
        <w:instrText xml:space="preserve"> REF _Ref39914876 \h  \* MERGEFORMAT </w:instrText>
      </w:r>
      <w:r>
        <w:fldChar w:fldCharType="separate"/>
      </w:r>
      <w:r>
        <w:t>表 3</w:t>
      </w:r>
      <w:r>
        <w:noBreakHyphen/>
      </w:r>
      <w:r>
        <w:t>6</w:t>
      </w:r>
      <w:r>
        <w:fldChar w:fldCharType="end"/>
      </w:r>
      <w:r>
        <w:rPr>
          <w:lang w:eastAsia="zh-CN"/>
        </w:rPr>
        <w:t>和</w:t>
      </w:r>
      <w:r>
        <w:fldChar w:fldCharType="begin"/>
      </w:r>
      <w:r>
        <w:rPr>
          <w:lang w:eastAsia="zh-CN"/>
        </w:rPr>
        <w:instrText xml:space="preserve"> REF _Ref187246031 \h </w:instrText>
      </w:r>
      <w:r>
        <w:instrText xml:space="preserve"> \* MERGEFORMAT </w:instrText>
      </w:r>
      <w:r>
        <w:fldChar w:fldCharType="separate"/>
      </w:r>
      <w:r>
        <w:t>表 3</w:t>
      </w:r>
      <w:r>
        <w:noBreakHyphen/>
      </w:r>
      <w:r>
        <w:t>7</w:t>
      </w:r>
      <w:r>
        <w:fldChar w:fldCharType="end"/>
      </w:r>
      <w:r>
        <w:t>。这些放射性固体废物的主要材料是钢、碳和镍，其主要的感生放射性核素及其半衰期列于</w:t>
      </w:r>
      <w:r>
        <w:fldChar w:fldCharType="begin"/>
      </w:r>
      <w:r>
        <w:instrText xml:space="preserve"> REF _Ref61184907 \h  \* MERGEFORMAT </w:instrText>
      </w:r>
      <w:r>
        <w:fldChar w:fldCharType="separate"/>
      </w:r>
      <w:r>
        <w:t>表 3</w:t>
      </w:r>
      <w:r>
        <w:noBreakHyphen/>
      </w:r>
      <w:r>
        <w:t>8</w:t>
      </w:r>
      <w:r>
        <w:fldChar w:fldCharType="end"/>
      </w:r>
      <w:r>
        <w:t>。停机后对活化结构部件剂量率贡献较大的主要是</w:t>
      </w:r>
      <w:r>
        <w:rPr>
          <w:vertAlign w:val="superscript"/>
        </w:rPr>
        <w:t>54</w:t>
      </w:r>
      <w:r>
        <w:t>Mn、</w:t>
      </w:r>
      <w:r>
        <w:rPr>
          <w:vertAlign w:val="superscript"/>
        </w:rPr>
        <w:t>51</w:t>
      </w:r>
      <w:r>
        <w:t>Cr、</w:t>
      </w:r>
      <w:r>
        <w:rPr>
          <w:vertAlign w:val="superscript"/>
        </w:rPr>
        <w:t>52</w:t>
      </w:r>
      <w:r>
        <w:t>Mn、</w:t>
      </w:r>
      <w:r>
        <w:rPr>
          <w:szCs w:val="21"/>
          <w:vertAlign w:val="superscript"/>
        </w:rPr>
        <w:t>57</w:t>
      </w:r>
      <w:r>
        <w:rPr>
          <w:szCs w:val="21"/>
        </w:rPr>
        <w:t>Co和</w:t>
      </w:r>
      <w:r>
        <w:rPr>
          <w:szCs w:val="21"/>
          <w:vertAlign w:val="superscript"/>
        </w:rPr>
        <w:t>58</w:t>
      </w:r>
      <w:r>
        <w:rPr>
          <w:szCs w:val="21"/>
        </w:rPr>
        <w:t>Co</w:t>
      </w:r>
      <w:r>
        <w:t>等半衰期较长的核素。</w:t>
      </w:r>
    </w:p>
    <w:p w14:paraId="485DCE58">
      <w:pPr>
        <w:pStyle w:val="15"/>
        <w:keepNext/>
        <w:ind w:firstLine="560"/>
        <w:rPr>
          <w:color w:val="000000"/>
        </w:rPr>
      </w:pPr>
      <w:bookmarkStart w:id="722" w:name="_Ref39914876"/>
      <w:bookmarkStart w:id="723" w:name="_Toc94259361"/>
      <w:bookmarkStart w:id="724" w:name="_Toc74750927"/>
      <w:bookmarkStart w:id="725" w:name="_Toc39942169"/>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6</w:t>
      </w:r>
      <w:r>
        <w:rPr>
          <w:color w:val="000000"/>
        </w:rPr>
        <w:fldChar w:fldCharType="end"/>
      </w:r>
      <w:bookmarkEnd w:id="722"/>
      <w:r>
        <w:rPr>
          <w:color w:val="000000"/>
        </w:rPr>
        <w:t xml:space="preserve"> 每台质子治疗</w:t>
      </w:r>
      <w:bookmarkEnd w:id="723"/>
      <w:bookmarkEnd w:id="724"/>
      <w:bookmarkEnd w:id="725"/>
      <w:r>
        <w:rPr>
          <w:color w:val="000000"/>
        </w:rPr>
        <w:t>机房运行期间放射性固体废物的年产生量</w:t>
      </w:r>
    </w:p>
    <w:tbl>
      <w:tblPr>
        <w:tblStyle w:val="4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529"/>
        <w:gridCol w:w="2993"/>
      </w:tblGrid>
      <w:tr w14:paraId="1C0A2A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4" w:hRule="atLeast"/>
          <w:jc w:val="center"/>
        </w:trPr>
        <w:tc>
          <w:tcPr>
            <w:tcW w:w="3244" w:type="pct"/>
            <w:vAlign w:val="center"/>
          </w:tcPr>
          <w:p w14:paraId="6C7C330F">
            <w:pPr>
              <w:jc w:val="center"/>
              <w:rPr>
                <w:b/>
                <w:bCs/>
              </w:rPr>
            </w:pPr>
            <w:r>
              <w:rPr>
                <w:b/>
                <w:bCs/>
              </w:rPr>
              <w:t>种类</w:t>
            </w:r>
          </w:p>
        </w:tc>
        <w:tc>
          <w:tcPr>
            <w:tcW w:w="1756" w:type="pct"/>
            <w:vAlign w:val="center"/>
          </w:tcPr>
          <w:p w14:paraId="73BFB185">
            <w:pPr>
              <w:jc w:val="center"/>
              <w:rPr>
                <w:b/>
                <w:bCs/>
              </w:rPr>
            </w:pPr>
            <w:r>
              <w:rPr>
                <w:b/>
                <w:bCs/>
              </w:rPr>
              <w:t>年产生量，m</w:t>
            </w:r>
            <w:r>
              <w:rPr>
                <w:b/>
                <w:bCs/>
                <w:vertAlign w:val="superscript"/>
              </w:rPr>
              <w:t>3</w:t>
            </w:r>
          </w:p>
        </w:tc>
      </w:tr>
      <w:tr w14:paraId="3D982A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4" w:hRule="atLeast"/>
          <w:jc w:val="center"/>
        </w:trPr>
        <w:tc>
          <w:tcPr>
            <w:tcW w:w="3244" w:type="pct"/>
            <w:vAlign w:val="center"/>
          </w:tcPr>
          <w:p w14:paraId="4D1C0BC6">
            <w:pPr>
              <w:jc w:val="center"/>
            </w:pPr>
            <w:r>
              <w:rPr>
                <w:kern w:val="21"/>
                <w:szCs w:val="20"/>
              </w:rPr>
              <w:t>离子源和一些易损易活化的靶件</w:t>
            </w:r>
            <w:r>
              <w:t>，包括</w:t>
            </w:r>
            <w:r>
              <w:rPr>
                <w:kern w:val="21"/>
                <w:szCs w:val="20"/>
              </w:rPr>
              <w:t>中心加速场组件、离子源探针、自适应光栅、</w:t>
            </w:r>
            <w:r>
              <w:t>聚酯纤维滤芯</w:t>
            </w:r>
            <w:r>
              <w:rPr>
                <w:kern w:val="21"/>
                <w:szCs w:val="20"/>
              </w:rPr>
              <w:t>等</w:t>
            </w:r>
          </w:p>
        </w:tc>
        <w:tc>
          <w:tcPr>
            <w:tcW w:w="1756" w:type="pct"/>
            <w:vAlign w:val="center"/>
          </w:tcPr>
          <w:p w14:paraId="47FC8571">
            <w:pPr>
              <w:jc w:val="center"/>
            </w:pPr>
            <w:r>
              <w:t>0.2</w:t>
            </w:r>
          </w:p>
        </w:tc>
      </w:tr>
    </w:tbl>
    <w:p w14:paraId="52386E5C"/>
    <w:p w14:paraId="3257C70E">
      <w:pPr>
        <w:pStyle w:val="15"/>
      </w:pPr>
      <w:bookmarkStart w:id="726" w:name="_Ref187246031"/>
      <w:r>
        <w:t xml:space="preserve">表 </w:t>
      </w:r>
      <w:r>
        <w:fldChar w:fldCharType="begin"/>
      </w:r>
      <w:r>
        <w:instrText xml:space="preserve"> STYLEREF 1 \s </w:instrText>
      </w:r>
      <w:r>
        <w:fldChar w:fldCharType="separate"/>
      </w:r>
      <w:r>
        <w:t>3</w:t>
      </w:r>
      <w:r>
        <w:fldChar w:fldCharType="end"/>
      </w:r>
      <w:r>
        <w:noBreakHyphen/>
      </w:r>
      <w:r>
        <w:fldChar w:fldCharType="begin"/>
      </w:r>
      <w:r>
        <w:instrText xml:space="preserve"> SEQ 表 \* ARABIC \s 1 </w:instrText>
      </w:r>
      <w:r>
        <w:fldChar w:fldCharType="separate"/>
      </w:r>
      <w:r>
        <w:t>7</w:t>
      </w:r>
      <w:r>
        <w:fldChar w:fldCharType="end"/>
      </w:r>
      <w:bookmarkEnd w:id="726"/>
      <w:r>
        <w:t xml:space="preserve"> 质子治疗系统运行期间产生的放射性固体废物数量、重量及更换频率</w:t>
      </w:r>
    </w:p>
    <w:tbl>
      <w:tblPr>
        <w:tblStyle w:val="45"/>
        <w:tblpPr w:leftFromText="180" w:rightFromText="180" w:vertAnchor="text" w:tblpXSpec="center"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3"/>
        <w:gridCol w:w="2074"/>
        <w:gridCol w:w="2102"/>
        <w:gridCol w:w="2047"/>
      </w:tblGrid>
      <w:tr w14:paraId="633DC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2073" w:type="dxa"/>
            <w:vAlign w:val="center"/>
          </w:tcPr>
          <w:p w14:paraId="7924CD4A">
            <w:pPr>
              <w:jc w:val="center"/>
              <w:rPr>
                <w:b/>
                <w:bCs/>
              </w:rPr>
            </w:pPr>
            <w:r>
              <w:rPr>
                <w:b/>
                <w:bCs/>
              </w:rPr>
              <w:t>部件名称</w:t>
            </w:r>
          </w:p>
        </w:tc>
        <w:tc>
          <w:tcPr>
            <w:tcW w:w="2074" w:type="dxa"/>
            <w:vAlign w:val="center"/>
          </w:tcPr>
          <w:p w14:paraId="13E47E55">
            <w:pPr>
              <w:jc w:val="center"/>
              <w:rPr>
                <w:b/>
                <w:bCs/>
              </w:rPr>
            </w:pPr>
            <w:r>
              <w:rPr>
                <w:b/>
                <w:bCs/>
              </w:rPr>
              <w:t>数量</w:t>
            </w:r>
          </w:p>
        </w:tc>
        <w:tc>
          <w:tcPr>
            <w:tcW w:w="2102" w:type="dxa"/>
            <w:vAlign w:val="center"/>
          </w:tcPr>
          <w:p w14:paraId="3FCF2C77">
            <w:pPr>
              <w:jc w:val="center"/>
              <w:rPr>
                <w:b/>
                <w:bCs/>
              </w:rPr>
            </w:pPr>
            <w:r>
              <w:rPr>
                <w:b/>
                <w:bCs/>
              </w:rPr>
              <w:t>重量，kg/个</w:t>
            </w:r>
          </w:p>
        </w:tc>
        <w:tc>
          <w:tcPr>
            <w:tcW w:w="2047" w:type="dxa"/>
          </w:tcPr>
          <w:p w14:paraId="09E9A3CE">
            <w:pPr>
              <w:jc w:val="center"/>
              <w:rPr>
                <w:b/>
                <w:bCs/>
              </w:rPr>
            </w:pPr>
            <w:r>
              <w:rPr>
                <w:b/>
                <w:bCs/>
              </w:rPr>
              <w:t>更换频率</w:t>
            </w:r>
          </w:p>
        </w:tc>
      </w:tr>
      <w:tr w14:paraId="14208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2073" w:type="dxa"/>
            <w:vAlign w:val="center"/>
          </w:tcPr>
          <w:p w14:paraId="5558089D">
            <w:pPr>
              <w:jc w:val="center"/>
            </w:pPr>
            <w:r>
              <w:rPr>
                <w:spacing w:val="-2"/>
              </w:rPr>
              <w:t>中心加速场组件</w:t>
            </w:r>
          </w:p>
        </w:tc>
        <w:tc>
          <w:tcPr>
            <w:tcW w:w="2074" w:type="dxa"/>
            <w:vAlign w:val="center"/>
          </w:tcPr>
          <w:p w14:paraId="2D4F3F49">
            <w:pPr>
              <w:jc w:val="center"/>
            </w:pPr>
            <w:r>
              <w:t>2</w:t>
            </w:r>
          </w:p>
        </w:tc>
        <w:tc>
          <w:tcPr>
            <w:tcW w:w="2102" w:type="dxa"/>
            <w:vAlign w:val="center"/>
          </w:tcPr>
          <w:p w14:paraId="543B9B9A">
            <w:pPr>
              <w:jc w:val="center"/>
            </w:pPr>
            <w:r>
              <w:t>7</w:t>
            </w:r>
          </w:p>
        </w:tc>
        <w:tc>
          <w:tcPr>
            <w:tcW w:w="2047" w:type="dxa"/>
            <w:vAlign w:val="center"/>
          </w:tcPr>
          <w:p w14:paraId="0DCD32BF">
            <w:pPr>
              <w:jc w:val="center"/>
            </w:pPr>
            <w:r>
              <w:t>2</w:t>
            </w:r>
            <w:r>
              <w:rPr>
                <w:spacing w:val="-10"/>
              </w:rPr>
              <w:t xml:space="preserve"> </w:t>
            </w:r>
            <w:r>
              <w:t>个/2</w:t>
            </w:r>
            <w:r>
              <w:rPr>
                <w:spacing w:val="-10"/>
              </w:rPr>
              <w:t xml:space="preserve"> 年</w:t>
            </w:r>
          </w:p>
        </w:tc>
      </w:tr>
      <w:tr w14:paraId="19D1B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073" w:type="dxa"/>
            <w:vAlign w:val="center"/>
          </w:tcPr>
          <w:p w14:paraId="3FF53E57">
            <w:pPr>
              <w:jc w:val="center"/>
            </w:pPr>
            <w:r>
              <w:rPr>
                <w:spacing w:val="-2"/>
              </w:rPr>
              <w:t>离子源探针</w:t>
            </w:r>
          </w:p>
        </w:tc>
        <w:tc>
          <w:tcPr>
            <w:tcW w:w="2074" w:type="dxa"/>
            <w:vAlign w:val="center"/>
          </w:tcPr>
          <w:p w14:paraId="3E65785B">
            <w:pPr>
              <w:jc w:val="center"/>
            </w:pPr>
            <w:r>
              <w:t>2</w:t>
            </w:r>
          </w:p>
        </w:tc>
        <w:tc>
          <w:tcPr>
            <w:tcW w:w="2102" w:type="dxa"/>
            <w:vAlign w:val="center"/>
          </w:tcPr>
          <w:p w14:paraId="55C71259">
            <w:pPr>
              <w:jc w:val="center"/>
            </w:pPr>
            <w:r>
              <w:rPr>
                <w:spacing w:val="-5"/>
              </w:rPr>
              <w:t>1.6</w:t>
            </w:r>
          </w:p>
        </w:tc>
        <w:tc>
          <w:tcPr>
            <w:tcW w:w="2047" w:type="dxa"/>
            <w:vAlign w:val="center"/>
          </w:tcPr>
          <w:p w14:paraId="5117D19F">
            <w:pPr>
              <w:jc w:val="center"/>
            </w:pPr>
            <w:r>
              <w:t>2</w:t>
            </w:r>
            <w:r>
              <w:rPr>
                <w:spacing w:val="-10"/>
              </w:rPr>
              <w:t xml:space="preserve"> </w:t>
            </w:r>
            <w:r>
              <w:t>个/5</w:t>
            </w:r>
            <w:r>
              <w:rPr>
                <w:spacing w:val="-10"/>
              </w:rPr>
              <w:t xml:space="preserve"> 年</w:t>
            </w:r>
          </w:p>
        </w:tc>
      </w:tr>
      <w:tr w14:paraId="23A2E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073" w:type="dxa"/>
            <w:vAlign w:val="center"/>
          </w:tcPr>
          <w:p w14:paraId="1CD3AD33">
            <w:pPr>
              <w:jc w:val="center"/>
              <w:rPr>
                <w:spacing w:val="-2"/>
              </w:rPr>
            </w:pPr>
            <w:r>
              <w:rPr>
                <w:spacing w:val="-2"/>
              </w:rPr>
              <w:t>自适应光栅</w:t>
            </w:r>
          </w:p>
        </w:tc>
        <w:tc>
          <w:tcPr>
            <w:tcW w:w="2074" w:type="dxa"/>
            <w:vAlign w:val="center"/>
          </w:tcPr>
          <w:p w14:paraId="7FA84DEC">
            <w:pPr>
              <w:jc w:val="center"/>
            </w:pPr>
            <w:r>
              <w:t>1</w:t>
            </w:r>
          </w:p>
        </w:tc>
        <w:tc>
          <w:tcPr>
            <w:tcW w:w="2102" w:type="dxa"/>
            <w:vAlign w:val="center"/>
          </w:tcPr>
          <w:p w14:paraId="76C2531D">
            <w:pPr>
              <w:jc w:val="center"/>
            </w:pPr>
            <w:r>
              <w:rPr>
                <w:spacing w:val="-5"/>
              </w:rPr>
              <w:t>18.84</w:t>
            </w:r>
          </w:p>
        </w:tc>
        <w:tc>
          <w:tcPr>
            <w:tcW w:w="2047" w:type="dxa"/>
            <w:vAlign w:val="center"/>
          </w:tcPr>
          <w:p w14:paraId="17FB6D75">
            <w:pPr>
              <w:jc w:val="center"/>
            </w:pPr>
            <w:r>
              <w:t>1</w:t>
            </w:r>
            <w:r>
              <w:rPr>
                <w:spacing w:val="-10"/>
              </w:rPr>
              <w:t xml:space="preserve"> </w:t>
            </w:r>
            <w:r>
              <w:t>个/1</w:t>
            </w:r>
            <w:r>
              <w:rPr>
                <w:spacing w:val="-10"/>
              </w:rPr>
              <w:t xml:space="preserve"> 年</w:t>
            </w:r>
          </w:p>
        </w:tc>
      </w:tr>
      <w:tr w14:paraId="01A0E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073" w:type="dxa"/>
            <w:vAlign w:val="center"/>
          </w:tcPr>
          <w:p w14:paraId="3B8353D1">
            <w:pPr>
              <w:jc w:val="center"/>
              <w:rPr>
                <w:spacing w:val="-2"/>
              </w:rPr>
            </w:pPr>
            <w:r>
              <w:rPr>
                <w:spacing w:val="-2"/>
              </w:rPr>
              <w:t>射程调节器</w:t>
            </w:r>
          </w:p>
          <w:p w14:paraId="38335AB5">
            <w:pPr>
              <w:jc w:val="center"/>
              <w:rPr>
                <w:spacing w:val="-2"/>
              </w:rPr>
            </w:pPr>
            <w:r>
              <w:rPr>
                <w:spacing w:val="-2"/>
              </w:rPr>
              <w:t>motor组件</w:t>
            </w:r>
          </w:p>
        </w:tc>
        <w:tc>
          <w:tcPr>
            <w:tcW w:w="2074" w:type="dxa"/>
            <w:vAlign w:val="center"/>
          </w:tcPr>
          <w:p w14:paraId="252BAD2B">
            <w:pPr>
              <w:jc w:val="center"/>
            </w:pPr>
            <w:r>
              <w:t>2</w:t>
            </w:r>
          </w:p>
        </w:tc>
        <w:tc>
          <w:tcPr>
            <w:tcW w:w="2102" w:type="dxa"/>
            <w:vAlign w:val="center"/>
          </w:tcPr>
          <w:p w14:paraId="179F152D">
            <w:pPr>
              <w:jc w:val="center"/>
            </w:pPr>
            <w:r>
              <w:t>1</w:t>
            </w:r>
          </w:p>
        </w:tc>
        <w:tc>
          <w:tcPr>
            <w:tcW w:w="2047" w:type="dxa"/>
            <w:vAlign w:val="center"/>
          </w:tcPr>
          <w:p w14:paraId="4CFC2EEC">
            <w:pPr>
              <w:jc w:val="center"/>
            </w:pPr>
            <w:r>
              <w:t>2</w:t>
            </w:r>
            <w:r>
              <w:rPr>
                <w:spacing w:val="-10"/>
              </w:rPr>
              <w:t xml:space="preserve"> </w:t>
            </w:r>
            <w:r>
              <w:t>个/</w:t>
            </w:r>
            <w:r>
              <w:rPr>
                <w:spacing w:val="-10"/>
              </w:rPr>
              <w:t>年</w:t>
            </w:r>
          </w:p>
        </w:tc>
      </w:tr>
      <w:tr w14:paraId="55F95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073" w:type="dxa"/>
            <w:vAlign w:val="center"/>
          </w:tcPr>
          <w:p w14:paraId="1537388B">
            <w:pPr>
              <w:jc w:val="center"/>
            </w:pPr>
            <w:r>
              <w:rPr>
                <w:spacing w:val="-3"/>
              </w:rPr>
              <w:t>扫描磁铁</w:t>
            </w:r>
          </w:p>
        </w:tc>
        <w:tc>
          <w:tcPr>
            <w:tcW w:w="2074" w:type="dxa"/>
            <w:vAlign w:val="center"/>
          </w:tcPr>
          <w:p w14:paraId="0280EDC4">
            <w:pPr>
              <w:jc w:val="center"/>
            </w:pPr>
            <w:r>
              <w:t>1</w:t>
            </w:r>
          </w:p>
        </w:tc>
        <w:tc>
          <w:tcPr>
            <w:tcW w:w="2102" w:type="dxa"/>
            <w:vAlign w:val="center"/>
          </w:tcPr>
          <w:p w14:paraId="272E18D6">
            <w:pPr>
              <w:jc w:val="center"/>
            </w:pPr>
            <w:r>
              <w:rPr>
                <w:spacing w:val="-5"/>
              </w:rPr>
              <w:t>215</w:t>
            </w:r>
          </w:p>
        </w:tc>
        <w:tc>
          <w:tcPr>
            <w:tcW w:w="2047" w:type="dxa"/>
            <w:vAlign w:val="center"/>
          </w:tcPr>
          <w:p w14:paraId="2E7B9469">
            <w:pPr>
              <w:jc w:val="center"/>
            </w:pPr>
            <w:r>
              <w:t>1</w:t>
            </w:r>
            <w:r>
              <w:rPr>
                <w:spacing w:val="-11"/>
              </w:rPr>
              <w:t xml:space="preserve"> </w:t>
            </w:r>
            <w:r>
              <w:t>个/10</w:t>
            </w:r>
            <w:r>
              <w:rPr>
                <w:spacing w:val="-10"/>
              </w:rPr>
              <w:t xml:space="preserve"> 年</w:t>
            </w:r>
          </w:p>
        </w:tc>
      </w:tr>
      <w:tr w14:paraId="184A2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073" w:type="dxa"/>
            <w:vAlign w:val="center"/>
          </w:tcPr>
          <w:p w14:paraId="5A97B34C">
            <w:pPr>
              <w:jc w:val="center"/>
            </w:pPr>
            <w:r>
              <w:rPr>
                <w:spacing w:val="-2"/>
              </w:rPr>
              <w:t>传输电离室</w:t>
            </w:r>
          </w:p>
        </w:tc>
        <w:tc>
          <w:tcPr>
            <w:tcW w:w="2074" w:type="dxa"/>
            <w:vAlign w:val="center"/>
          </w:tcPr>
          <w:p w14:paraId="08C660DA">
            <w:pPr>
              <w:jc w:val="center"/>
            </w:pPr>
            <w:r>
              <w:t>2</w:t>
            </w:r>
          </w:p>
        </w:tc>
        <w:tc>
          <w:tcPr>
            <w:tcW w:w="2102" w:type="dxa"/>
            <w:vAlign w:val="center"/>
          </w:tcPr>
          <w:p w14:paraId="3D7E306F">
            <w:pPr>
              <w:jc w:val="center"/>
            </w:pPr>
            <w:r>
              <w:t>7</w:t>
            </w:r>
          </w:p>
        </w:tc>
        <w:tc>
          <w:tcPr>
            <w:tcW w:w="2047" w:type="dxa"/>
            <w:vAlign w:val="center"/>
          </w:tcPr>
          <w:p w14:paraId="2D14F6BB">
            <w:pPr>
              <w:jc w:val="center"/>
            </w:pPr>
            <w:r>
              <w:t>2</w:t>
            </w:r>
            <w:r>
              <w:rPr>
                <w:spacing w:val="-10"/>
              </w:rPr>
              <w:t xml:space="preserve"> </w:t>
            </w:r>
            <w:r>
              <w:t>个/4</w:t>
            </w:r>
            <w:r>
              <w:rPr>
                <w:spacing w:val="-10"/>
              </w:rPr>
              <w:t xml:space="preserve"> 年</w:t>
            </w:r>
          </w:p>
        </w:tc>
      </w:tr>
      <w:tr w14:paraId="75495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073" w:type="dxa"/>
            <w:vAlign w:val="center"/>
          </w:tcPr>
          <w:p w14:paraId="6FBB4E6E">
            <w:pPr>
              <w:jc w:val="center"/>
            </w:pPr>
            <w:r>
              <w:rPr>
                <w:spacing w:val="-2"/>
              </w:rPr>
              <w:t>聚酯纤维滤芯</w:t>
            </w:r>
          </w:p>
        </w:tc>
        <w:tc>
          <w:tcPr>
            <w:tcW w:w="2074" w:type="dxa"/>
            <w:vAlign w:val="center"/>
          </w:tcPr>
          <w:p w14:paraId="7FBCD502">
            <w:pPr>
              <w:jc w:val="center"/>
            </w:pPr>
            <w:r>
              <w:t>1</w:t>
            </w:r>
          </w:p>
        </w:tc>
        <w:tc>
          <w:tcPr>
            <w:tcW w:w="2102" w:type="dxa"/>
            <w:vAlign w:val="center"/>
          </w:tcPr>
          <w:p w14:paraId="0A44A218">
            <w:pPr>
              <w:jc w:val="center"/>
            </w:pPr>
            <w:r>
              <w:rPr>
                <w:spacing w:val="-4"/>
              </w:rPr>
              <w:t>0.36</w:t>
            </w:r>
          </w:p>
        </w:tc>
        <w:tc>
          <w:tcPr>
            <w:tcW w:w="2047" w:type="dxa"/>
            <w:vAlign w:val="center"/>
          </w:tcPr>
          <w:p w14:paraId="060B29A5">
            <w:pPr>
              <w:jc w:val="center"/>
            </w:pPr>
            <w:r>
              <w:t>1</w:t>
            </w:r>
            <w:r>
              <w:rPr>
                <w:spacing w:val="-10"/>
              </w:rPr>
              <w:t xml:space="preserve"> </w:t>
            </w:r>
            <w:r>
              <w:t>个/</w:t>
            </w:r>
            <w:r>
              <w:rPr>
                <w:spacing w:val="-5"/>
              </w:rPr>
              <w:t>半年</w:t>
            </w:r>
          </w:p>
        </w:tc>
      </w:tr>
      <w:tr w14:paraId="22F33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073" w:type="dxa"/>
            <w:vAlign w:val="center"/>
          </w:tcPr>
          <w:p w14:paraId="19BD7B1B">
            <w:pPr>
              <w:jc w:val="center"/>
            </w:pPr>
            <w:r>
              <w:t>总计</w:t>
            </w:r>
          </w:p>
        </w:tc>
        <w:tc>
          <w:tcPr>
            <w:tcW w:w="2074" w:type="dxa"/>
            <w:vAlign w:val="center"/>
          </w:tcPr>
          <w:p w14:paraId="152873FB">
            <w:pPr>
              <w:jc w:val="center"/>
            </w:pPr>
            <w:r>
              <w:t>——</w:t>
            </w:r>
          </w:p>
        </w:tc>
        <w:tc>
          <w:tcPr>
            <w:tcW w:w="2102" w:type="dxa"/>
            <w:vAlign w:val="center"/>
          </w:tcPr>
          <w:p w14:paraId="4BF62E5D">
            <w:pPr>
              <w:jc w:val="center"/>
            </w:pPr>
            <w:r>
              <w:t>54.2</w:t>
            </w:r>
          </w:p>
        </w:tc>
        <w:tc>
          <w:tcPr>
            <w:tcW w:w="2047" w:type="dxa"/>
          </w:tcPr>
          <w:p w14:paraId="3E5D78E2">
            <w:pPr>
              <w:jc w:val="center"/>
            </w:pPr>
            <w:r>
              <w:t>—</w:t>
            </w:r>
          </w:p>
        </w:tc>
      </w:tr>
    </w:tbl>
    <w:p w14:paraId="23AF1AF4"/>
    <w:p w14:paraId="074CF8C1">
      <w:pPr>
        <w:pStyle w:val="15"/>
        <w:keepNext/>
        <w:rPr>
          <w:color w:val="000000"/>
        </w:rPr>
      </w:pPr>
      <w:bookmarkStart w:id="727" w:name="_Ref22217732"/>
      <w:bookmarkStart w:id="728" w:name="_Ref61184907"/>
      <w:bookmarkStart w:id="729" w:name="_Toc34738457"/>
      <w:bookmarkStart w:id="730" w:name="_Toc74750928"/>
      <w:bookmarkStart w:id="731" w:name="_Toc94259362"/>
      <w:r>
        <w:rPr>
          <w:color w:val="000000"/>
        </w:rPr>
        <w:t xml:space="preserve">表 </w:t>
      </w:r>
      <w:r>
        <w:rPr>
          <w:color w:val="000000"/>
        </w:rPr>
        <w:fldChar w:fldCharType="begin"/>
      </w:r>
      <w:r>
        <w:rPr>
          <w:color w:val="000000"/>
        </w:rPr>
        <w:instrText xml:space="preserve"> STYLEREF 1 \s </w:instrText>
      </w:r>
      <w:r>
        <w:rPr>
          <w:color w:val="000000"/>
        </w:rPr>
        <w:fldChar w:fldCharType="separate"/>
      </w:r>
      <w:r>
        <w:rPr>
          <w:color w:val="000000"/>
        </w:rPr>
        <w:t>3</w:t>
      </w:r>
      <w:r>
        <w:rPr>
          <w:color w:val="000000"/>
        </w:rPr>
        <w:fldChar w:fldCharType="end"/>
      </w:r>
      <w:r>
        <w:rPr>
          <w:color w:val="000000"/>
        </w:rPr>
        <w:noBreakHyphen/>
      </w:r>
      <w:r>
        <w:rPr>
          <w:color w:val="000000"/>
        </w:rPr>
        <w:fldChar w:fldCharType="begin"/>
      </w:r>
      <w:r>
        <w:rPr>
          <w:color w:val="000000"/>
        </w:rPr>
        <w:instrText xml:space="preserve"> SEQ 表 \* ARABIC \s 1 </w:instrText>
      </w:r>
      <w:r>
        <w:rPr>
          <w:color w:val="000000"/>
        </w:rPr>
        <w:fldChar w:fldCharType="separate"/>
      </w:r>
      <w:r>
        <w:rPr>
          <w:color w:val="000000"/>
        </w:rPr>
        <w:t>8</w:t>
      </w:r>
      <w:r>
        <w:rPr>
          <w:color w:val="000000"/>
        </w:rPr>
        <w:fldChar w:fldCharType="end"/>
      </w:r>
      <w:bookmarkEnd w:id="727"/>
      <w:bookmarkEnd w:id="728"/>
      <w:r>
        <w:rPr>
          <w:color w:val="000000"/>
        </w:rPr>
        <w:t xml:space="preserve"> 活化结构部件主要感生放射性核素及其半衰期</w:t>
      </w:r>
      <w:bookmarkEnd w:id="729"/>
      <w:bookmarkEnd w:id="730"/>
      <w:bookmarkEnd w:id="731"/>
    </w:p>
    <w:tbl>
      <w:tblPr>
        <w:tblStyle w:val="45"/>
        <w:tblW w:w="82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1684"/>
        <w:gridCol w:w="1224"/>
        <w:gridCol w:w="1224"/>
        <w:gridCol w:w="1684"/>
        <w:gridCol w:w="1224"/>
      </w:tblGrid>
      <w:tr w14:paraId="2280C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Align w:val="center"/>
          </w:tcPr>
          <w:p w14:paraId="2EEFAA54">
            <w:pPr>
              <w:spacing w:line="360" w:lineRule="auto"/>
              <w:jc w:val="center"/>
              <w:rPr>
                <w:color w:val="000000"/>
                <w:szCs w:val="21"/>
              </w:rPr>
            </w:pPr>
            <w:r>
              <w:rPr>
                <w:color w:val="000000"/>
                <w:szCs w:val="21"/>
              </w:rPr>
              <w:t>靶材料</w:t>
            </w:r>
          </w:p>
        </w:tc>
        <w:tc>
          <w:tcPr>
            <w:tcW w:w="1684" w:type="dxa"/>
            <w:vAlign w:val="center"/>
          </w:tcPr>
          <w:p w14:paraId="3B66246B">
            <w:pPr>
              <w:spacing w:line="360" w:lineRule="auto"/>
              <w:jc w:val="center"/>
              <w:rPr>
                <w:color w:val="000000"/>
                <w:szCs w:val="21"/>
              </w:rPr>
            </w:pPr>
            <w:r>
              <w:rPr>
                <w:color w:val="000000"/>
                <w:szCs w:val="21"/>
              </w:rPr>
              <w:t>放射性核素</w:t>
            </w:r>
          </w:p>
        </w:tc>
        <w:tc>
          <w:tcPr>
            <w:tcW w:w="1224" w:type="dxa"/>
            <w:vAlign w:val="center"/>
          </w:tcPr>
          <w:p w14:paraId="588FF6C9">
            <w:pPr>
              <w:spacing w:line="360" w:lineRule="auto"/>
              <w:jc w:val="center"/>
              <w:rPr>
                <w:color w:val="000000"/>
                <w:szCs w:val="21"/>
              </w:rPr>
            </w:pPr>
            <w:r>
              <w:rPr>
                <w:color w:val="000000"/>
                <w:szCs w:val="21"/>
              </w:rPr>
              <w:t>半衰期</w:t>
            </w:r>
          </w:p>
        </w:tc>
        <w:tc>
          <w:tcPr>
            <w:tcW w:w="1224" w:type="dxa"/>
            <w:vAlign w:val="center"/>
          </w:tcPr>
          <w:p w14:paraId="25FB55A9">
            <w:pPr>
              <w:spacing w:line="360" w:lineRule="auto"/>
              <w:jc w:val="center"/>
              <w:rPr>
                <w:color w:val="000000"/>
                <w:szCs w:val="21"/>
              </w:rPr>
            </w:pPr>
            <w:r>
              <w:rPr>
                <w:color w:val="000000"/>
                <w:szCs w:val="21"/>
              </w:rPr>
              <w:t>靶材料</w:t>
            </w:r>
          </w:p>
        </w:tc>
        <w:tc>
          <w:tcPr>
            <w:tcW w:w="1684" w:type="dxa"/>
            <w:vAlign w:val="center"/>
          </w:tcPr>
          <w:p w14:paraId="361209AA">
            <w:pPr>
              <w:spacing w:line="360" w:lineRule="auto"/>
              <w:jc w:val="center"/>
              <w:rPr>
                <w:color w:val="000000"/>
                <w:szCs w:val="21"/>
              </w:rPr>
            </w:pPr>
            <w:r>
              <w:rPr>
                <w:color w:val="000000"/>
                <w:szCs w:val="21"/>
              </w:rPr>
              <w:t>放射性核素</w:t>
            </w:r>
          </w:p>
        </w:tc>
        <w:tc>
          <w:tcPr>
            <w:tcW w:w="1224" w:type="dxa"/>
            <w:vAlign w:val="center"/>
          </w:tcPr>
          <w:p w14:paraId="6D098D5B">
            <w:pPr>
              <w:spacing w:line="360" w:lineRule="auto"/>
              <w:jc w:val="center"/>
              <w:rPr>
                <w:color w:val="000000"/>
                <w:szCs w:val="21"/>
              </w:rPr>
            </w:pPr>
            <w:r>
              <w:rPr>
                <w:color w:val="000000"/>
                <w:szCs w:val="21"/>
              </w:rPr>
              <w:t>半衰期</w:t>
            </w:r>
          </w:p>
        </w:tc>
      </w:tr>
      <w:tr w14:paraId="6AE38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restart"/>
            <w:vAlign w:val="center"/>
          </w:tcPr>
          <w:p w14:paraId="41EB4667">
            <w:pPr>
              <w:spacing w:line="360" w:lineRule="auto"/>
              <w:jc w:val="center"/>
              <w:rPr>
                <w:color w:val="000000"/>
                <w:szCs w:val="21"/>
              </w:rPr>
            </w:pPr>
            <w:r>
              <w:rPr>
                <w:color w:val="000000"/>
                <w:szCs w:val="21"/>
              </w:rPr>
              <w:t>碳</w:t>
            </w:r>
          </w:p>
        </w:tc>
        <w:tc>
          <w:tcPr>
            <w:tcW w:w="1684" w:type="dxa"/>
            <w:vAlign w:val="center"/>
          </w:tcPr>
          <w:p w14:paraId="79F8C02C">
            <w:pPr>
              <w:spacing w:line="360" w:lineRule="auto"/>
              <w:jc w:val="center"/>
              <w:rPr>
                <w:color w:val="000000"/>
                <w:szCs w:val="21"/>
              </w:rPr>
            </w:pPr>
            <w:r>
              <w:rPr>
                <w:color w:val="000000"/>
                <w:szCs w:val="21"/>
                <w:vertAlign w:val="superscript"/>
              </w:rPr>
              <w:t>3</w:t>
            </w:r>
            <w:r>
              <w:rPr>
                <w:color w:val="000000"/>
                <w:szCs w:val="21"/>
              </w:rPr>
              <w:t>H</w:t>
            </w:r>
          </w:p>
        </w:tc>
        <w:tc>
          <w:tcPr>
            <w:tcW w:w="1224" w:type="dxa"/>
            <w:vAlign w:val="center"/>
          </w:tcPr>
          <w:p w14:paraId="56F14142">
            <w:pPr>
              <w:spacing w:line="360" w:lineRule="auto"/>
              <w:jc w:val="center"/>
              <w:rPr>
                <w:color w:val="000000"/>
                <w:szCs w:val="21"/>
              </w:rPr>
            </w:pPr>
            <w:r>
              <w:rPr>
                <w:color w:val="000000"/>
              </w:rPr>
              <w:t>12.3a</w:t>
            </w:r>
          </w:p>
        </w:tc>
        <w:tc>
          <w:tcPr>
            <w:tcW w:w="1224" w:type="dxa"/>
            <w:vMerge w:val="restart"/>
            <w:vAlign w:val="center"/>
          </w:tcPr>
          <w:p w14:paraId="006162C3">
            <w:pPr>
              <w:spacing w:line="360" w:lineRule="auto"/>
              <w:jc w:val="center"/>
              <w:rPr>
                <w:color w:val="000000"/>
              </w:rPr>
            </w:pPr>
            <w:r>
              <w:rPr>
                <w:color w:val="000000"/>
              </w:rPr>
              <w:t>钢</w:t>
            </w:r>
          </w:p>
        </w:tc>
        <w:tc>
          <w:tcPr>
            <w:tcW w:w="1684" w:type="dxa"/>
            <w:vAlign w:val="center"/>
          </w:tcPr>
          <w:p w14:paraId="331687E4">
            <w:pPr>
              <w:spacing w:line="360" w:lineRule="auto"/>
              <w:jc w:val="center"/>
              <w:rPr>
                <w:color w:val="000000"/>
                <w:szCs w:val="21"/>
              </w:rPr>
            </w:pPr>
            <w:r>
              <w:rPr>
                <w:color w:val="000000"/>
                <w:szCs w:val="21"/>
                <w:vertAlign w:val="superscript"/>
              </w:rPr>
              <w:t>51</w:t>
            </w:r>
            <w:r>
              <w:rPr>
                <w:color w:val="000000"/>
                <w:szCs w:val="21"/>
              </w:rPr>
              <w:t>Cr</w:t>
            </w:r>
          </w:p>
        </w:tc>
        <w:tc>
          <w:tcPr>
            <w:tcW w:w="1224" w:type="dxa"/>
            <w:vAlign w:val="center"/>
          </w:tcPr>
          <w:p w14:paraId="02680063">
            <w:pPr>
              <w:spacing w:line="360" w:lineRule="auto"/>
              <w:jc w:val="center"/>
              <w:rPr>
                <w:color w:val="000000"/>
                <w:szCs w:val="21"/>
              </w:rPr>
            </w:pPr>
            <w:r>
              <w:rPr>
                <w:color w:val="000000"/>
                <w:szCs w:val="21"/>
              </w:rPr>
              <w:t>27.8d</w:t>
            </w:r>
          </w:p>
        </w:tc>
      </w:tr>
      <w:tr w14:paraId="08CB1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36BA9E9D">
            <w:pPr>
              <w:spacing w:line="360" w:lineRule="auto"/>
              <w:jc w:val="center"/>
              <w:rPr>
                <w:color w:val="000000"/>
                <w:szCs w:val="21"/>
              </w:rPr>
            </w:pPr>
          </w:p>
        </w:tc>
        <w:tc>
          <w:tcPr>
            <w:tcW w:w="1684" w:type="dxa"/>
            <w:vAlign w:val="center"/>
          </w:tcPr>
          <w:p w14:paraId="3063BA96">
            <w:pPr>
              <w:spacing w:line="360" w:lineRule="auto"/>
              <w:jc w:val="center"/>
              <w:rPr>
                <w:color w:val="000000"/>
                <w:szCs w:val="21"/>
              </w:rPr>
            </w:pPr>
            <w:r>
              <w:rPr>
                <w:color w:val="000000"/>
                <w:szCs w:val="21"/>
                <w:vertAlign w:val="superscript"/>
              </w:rPr>
              <w:t>7</w:t>
            </w:r>
            <w:r>
              <w:rPr>
                <w:color w:val="000000"/>
                <w:szCs w:val="21"/>
              </w:rPr>
              <w:t>Be</w:t>
            </w:r>
          </w:p>
        </w:tc>
        <w:tc>
          <w:tcPr>
            <w:tcW w:w="1224" w:type="dxa"/>
            <w:vAlign w:val="center"/>
          </w:tcPr>
          <w:p w14:paraId="7CF9E641">
            <w:pPr>
              <w:spacing w:line="360" w:lineRule="auto"/>
              <w:jc w:val="center"/>
              <w:rPr>
                <w:color w:val="000000"/>
                <w:szCs w:val="21"/>
              </w:rPr>
            </w:pPr>
            <w:r>
              <w:rPr>
                <w:color w:val="000000"/>
                <w:szCs w:val="21"/>
              </w:rPr>
              <w:t>53.6d</w:t>
            </w:r>
          </w:p>
        </w:tc>
        <w:tc>
          <w:tcPr>
            <w:tcW w:w="1224" w:type="dxa"/>
            <w:vMerge w:val="continue"/>
            <w:vAlign w:val="center"/>
          </w:tcPr>
          <w:p w14:paraId="1A033CAF">
            <w:pPr>
              <w:spacing w:line="360" w:lineRule="auto"/>
              <w:jc w:val="center"/>
              <w:rPr>
                <w:color w:val="000000"/>
                <w:szCs w:val="21"/>
              </w:rPr>
            </w:pPr>
          </w:p>
        </w:tc>
        <w:tc>
          <w:tcPr>
            <w:tcW w:w="1684" w:type="dxa"/>
            <w:vAlign w:val="center"/>
          </w:tcPr>
          <w:p w14:paraId="093BBCCD">
            <w:pPr>
              <w:spacing w:line="360" w:lineRule="auto"/>
              <w:jc w:val="center"/>
              <w:rPr>
                <w:color w:val="000000"/>
              </w:rPr>
            </w:pPr>
            <w:r>
              <w:rPr>
                <w:color w:val="000000"/>
                <w:szCs w:val="21"/>
                <w:vertAlign w:val="superscript"/>
              </w:rPr>
              <w:t>52</w:t>
            </w:r>
            <w:r>
              <w:rPr>
                <w:color w:val="000000"/>
                <w:szCs w:val="21"/>
              </w:rPr>
              <w:t>Mn</w:t>
            </w:r>
          </w:p>
        </w:tc>
        <w:tc>
          <w:tcPr>
            <w:tcW w:w="1224" w:type="dxa"/>
            <w:vAlign w:val="center"/>
          </w:tcPr>
          <w:p w14:paraId="53C6B2ED">
            <w:pPr>
              <w:spacing w:line="360" w:lineRule="auto"/>
              <w:jc w:val="center"/>
              <w:rPr>
                <w:color w:val="000000"/>
              </w:rPr>
            </w:pPr>
            <w:r>
              <w:rPr>
                <w:color w:val="000000"/>
                <w:szCs w:val="21"/>
              </w:rPr>
              <w:t>5.55d</w:t>
            </w:r>
          </w:p>
        </w:tc>
      </w:tr>
      <w:tr w14:paraId="50052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7388AAFD">
            <w:pPr>
              <w:spacing w:line="360" w:lineRule="auto"/>
              <w:jc w:val="center"/>
              <w:rPr>
                <w:color w:val="000000"/>
                <w:szCs w:val="21"/>
              </w:rPr>
            </w:pPr>
          </w:p>
        </w:tc>
        <w:tc>
          <w:tcPr>
            <w:tcW w:w="1684" w:type="dxa"/>
            <w:vAlign w:val="center"/>
          </w:tcPr>
          <w:p w14:paraId="5D14ADC2">
            <w:pPr>
              <w:spacing w:line="360" w:lineRule="auto"/>
              <w:jc w:val="center"/>
              <w:rPr>
                <w:color w:val="000000"/>
                <w:szCs w:val="21"/>
              </w:rPr>
            </w:pPr>
            <w:r>
              <w:rPr>
                <w:color w:val="000000"/>
                <w:szCs w:val="21"/>
                <w:vertAlign w:val="superscript"/>
              </w:rPr>
              <w:t>11</w:t>
            </w:r>
            <w:r>
              <w:rPr>
                <w:color w:val="000000"/>
                <w:szCs w:val="21"/>
              </w:rPr>
              <w:t>C</w:t>
            </w:r>
          </w:p>
        </w:tc>
        <w:tc>
          <w:tcPr>
            <w:tcW w:w="1224" w:type="dxa"/>
            <w:vAlign w:val="center"/>
          </w:tcPr>
          <w:p w14:paraId="7D5AE36F">
            <w:pPr>
              <w:spacing w:line="360" w:lineRule="auto"/>
              <w:jc w:val="center"/>
              <w:rPr>
                <w:color w:val="000000"/>
                <w:szCs w:val="21"/>
              </w:rPr>
            </w:pPr>
            <w:r>
              <w:rPr>
                <w:color w:val="000000"/>
                <w:szCs w:val="21"/>
              </w:rPr>
              <w:t>20.4min</w:t>
            </w:r>
          </w:p>
        </w:tc>
        <w:tc>
          <w:tcPr>
            <w:tcW w:w="1224" w:type="dxa"/>
            <w:vMerge w:val="continue"/>
            <w:vAlign w:val="center"/>
          </w:tcPr>
          <w:p w14:paraId="22D4121C">
            <w:pPr>
              <w:spacing w:line="360" w:lineRule="auto"/>
              <w:jc w:val="center"/>
              <w:rPr>
                <w:color w:val="000000"/>
                <w:szCs w:val="21"/>
              </w:rPr>
            </w:pPr>
          </w:p>
        </w:tc>
        <w:tc>
          <w:tcPr>
            <w:tcW w:w="1684" w:type="dxa"/>
            <w:vAlign w:val="center"/>
          </w:tcPr>
          <w:p w14:paraId="3CC78E85">
            <w:pPr>
              <w:spacing w:line="360" w:lineRule="auto"/>
              <w:jc w:val="center"/>
              <w:rPr>
                <w:color w:val="000000"/>
                <w:szCs w:val="21"/>
              </w:rPr>
            </w:pPr>
            <w:r>
              <w:rPr>
                <w:color w:val="000000"/>
                <w:szCs w:val="21"/>
                <w:vertAlign w:val="superscript"/>
              </w:rPr>
              <w:t>52m</w:t>
            </w:r>
            <w:r>
              <w:rPr>
                <w:color w:val="000000"/>
                <w:szCs w:val="21"/>
              </w:rPr>
              <w:t>Mn</w:t>
            </w:r>
          </w:p>
        </w:tc>
        <w:tc>
          <w:tcPr>
            <w:tcW w:w="1224" w:type="dxa"/>
            <w:vAlign w:val="center"/>
          </w:tcPr>
          <w:p w14:paraId="4EB34FB2">
            <w:pPr>
              <w:spacing w:line="360" w:lineRule="auto"/>
              <w:jc w:val="center"/>
              <w:rPr>
                <w:color w:val="000000"/>
                <w:szCs w:val="21"/>
              </w:rPr>
            </w:pPr>
            <w:r>
              <w:rPr>
                <w:color w:val="000000"/>
                <w:szCs w:val="21"/>
              </w:rPr>
              <w:t>21.3min</w:t>
            </w:r>
          </w:p>
        </w:tc>
      </w:tr>
      <w:tr w14:paraId="0416A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228" w:type="dxa"/>
            <w:vMerge w:val="restart"/>
            <w:vAlign w:val="center"/>
          </w:tcPr>
          <w:p w14:paraId="71EF2D61">
            <w:pPr>
              <w:spacing w:line="360" w:lineRule="auto"/>
              <w:jc w:val="center"/>
              <w:rPr>
                <w:color w:val="000000"/>
                <w:szCs w:val="21"/>
              </w:rPr>
            </w:pPr>
            <w:r>
              <w:rPr>
                <w:color w:val="000000"/>
                <w:szCs w:val="21"/>
              </w:rPr>
              <w:t>钢</w:t>
            </w:r>
          </w:p>
        </w:tc>
        <w:tc>
          <w:tcPr>
            <w:tcW w:w="1684" w:type="dxa"/>
            <w:vAlign w:val="center"/>
          </w:tcPr>
          <w:p w14:paraId="7FACDB3E">
            <w:pPr>
              <w:jc w:val="center"/>
              <w:rPr>
                <w:color w:val="000000"/>
              </w:rPr>
            </w:pPr>
            <w:r>
              <w:rPr>
                <w:color w:val="000000"/>
              </w:rPr>
              <w:t>同上述核素加以下核素</w:t>
            </w:r>
          </w:p>
        </w:tc>
        <w:tc>
          <w:tcPr>
            <w:tcW w:w="1224" w:type="dxa"/>
            <w:vAlign w:val="center"/>
          </w:tcPr>
          <w:p w14:paraId="2563E737">
            <w:pPr>
              <w:spacing w:line="360" w:lineRule="auto"/>
              <w:jc w:val="center"/>
              <w:rPr>
                <w:color w:val="000000"/>
                <w:szCs w:val="21"/>
              </w:rPr>
            </w:pPr>
            <w:r>
              <w:rPr>
                <w:color w:val="000000"/>
                <w:szCs w:val="21"/>
              </w:rPr>
              <w:t>——</w:t>
            </w:r>
          </w:p>
        </w:tc>
        <w:tc>
          <w:tcPr>
            <w:tcW w:w="1224" w:type="dxa"/>
            <w:vMerge w:val="continue"/>
            <w:vAlign w:val="center"/>
          </w:tcPr>
          <w:p w14:paraId="04A9EF0B">
            <w:pPr>
              <w:spacing w:line="360" w:lineRule="auto"/>
              <w:jc w:val="center"/>
              <w:rPr>
                <w:color w:val="000000"/>
                <w:szCs w:val="21"/>
              </w:rPr>
            </w:pPr>
          </w:p>
        </w:tc>
        <w:tc>
          <w:tcPr>
            <w:tcW w:w="1684" w:type="dxa"/>
            <w:vAlign w:val="center"/>
          </w:tcPr>
          <w:p w14:paraId="0644261B">
            <w:pPr>
              <w:spacing w:line="360" w:lineRule="auto"/>
              <w:jc w:val="center"/>
              <w:rPr>
                <w:color w:val="000000"/>
                <w:szCs w:val="21"/>
              </w:rPr>
            </w:pPr>
            <w:r>
              <w:rPr>
                <w:color w:val="000000"/>
                <w:szCs w:val="21"/>
                <w:vertAlign w:val="superscript"/>
              </w:rPr>
              <w:t>54</w:t>
            </w:r>
            <w:r>
              <w:rPr>
                <w:color w:val="000000"/>
                <w:szCs w:val="21"/>
              </w:rPr>
              <w:t>Mn</w:t>
            </w:r>
          </w:p>
        </w:tc>
        <w:tc>
          <w:tcPr>
            <w:tcW w:w="1224" w:type="dxa"/>
            <w:vAlign w:val="center"/>
          </w:tcPr>
          <w:p w14:paraId="7F769A9E">
            <w:pPr>
              <w:spacing w:line="360" w:lineRule="auto"/>
              <w:jc w:val="center"/>
              <w:rPr>
                <w:color w:val="000000"/>
                <w:szCs w:val="21"/>
              </w:rPr>
            </w:pPr>
            <w:r>
              <w:rPr>
                <w:color w:val="000000"/>
                <w:szCs w:val="21"/>
              </w:rPr>
              <w:t>300d</w:t>
            </w:r>
          </w:p>
        </w:tc>
      </w:tr>
      <w:tr w14:paraId="1209A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73A500BA">
            <w:pPr>
              <w:spacing w:line="360" w:lineRule="auto"/>
              <w:jc w:val="center"/>
              <w:rPr>
                <w:color w:val="000000"/>
                <w:szCs w:val="21"/>
              </w:rPr>
            </w:pPr>
          </w:p>
        </w:tc>
        <w:tc>
          <w:tcPr>
            <w:tcW w:w="1684" w:type="dxa"/>
            <w:vAlign w:val="center"/>
          </w:tcPr>
          <w:p w14:paraId="1C19CA1F">
            <w:pPr>
              <w:spacing w:line="360" w:lineRule="auto"/>
              <w:jc w:val="center"/>
              <w:rPr>
                <w:color w:val="000000"/>
                <w:szCs w:val="21"/>
              </w:rPr>
            </w:pPr>
            <w:r>
              <w:rPr>
                <w:color w:val="000000"/>
                <w:szCs w:val="21"/>
                <w:vertAlign w:val="superscript"/>
              </w:rPr>
              <w:t>22</w:t>
            </w:r>
            <w:r>
              <w:rPr>
                <w:color w:val="000000"/>
                <w:szCs w:val="21"/>
              </w:rPr>
              <w:t>Na</w:t>
            </w:r>
          </w:p>
        </w:tc>
        <w:tc>
          <w:tcPr>
            <w:tcW w:w="1224" w:type="dxa"/>
            <w:vAlign w:val="center"/>
          </w:tcPr>
          <w:p w14:paraId="246BC621">
            <w:pPr>
              <w:spacing w:line="360" w:lineRule="auto"/>
              <w:jc w:val="center"/>
              <w:rPr>
                <w:color w:val="000000"/>
                <w:szCs w:val="21"/>
              </w:rPr>
            </w:pPr>
            <w:r>
              <w:rPr>
                <w:color w:val="000000"/>
                <w:szCs w:val="21"/>
              </w:rPr>
              <w:t>2.60a</w:t>
            </w:r>
          </w:p>
        </w:tc>
        <w:tc>
          <w:tcPr>
            <w:tcW w:w="1224" w:type="dxa"/>
            <w:vMerge w:val="continue"/>
            <w:vAlign w:val="center"/>
          </w:tcPr>
          <w:p w14:paraId="559CA2AC">
            <w:pPr>
              <w:spacing w:line="360" w:lineRule="auto"/>
              <w:jc w:val="center"/>
              <w:rPr>
                <w:color w:val="000000"/>
                <w:szCs w:val="21"/>
              </w:rPr>
            </w:pPr>
          </w:p>
        </w:tc>
        <w:tc>
          <w:tcPr>
            <w:tcW w:w="1684" w:type="dxa"/>
            <w:vAlign w:val="center"/>
          </w:tcPr>
          <w:p w14:paraId="751993A5">
            <w:pPr>
              <w:spacing w:line="360" w:lineRule="auto"/>
              <w:jc w:val="center"/>
              <w:rPr>
                <w:color w:val="000000"/>
                <w:szCs w:val="21"/>
                <w:vertAlign w:val="superscript"/>
              </w:rPr>
            </w:pPr>
            <w:r>
              <w:rPr>
                <w:color w:val="000000"/>
                <w:szCs w:val="21"/>
                <w:vertAlign w:val="superscript"/>
              </w:rPr>
              <w:t>56</w:t>
            </w:r>
            <w:r>
              <w:rPr>
                <w:color w:val="000000"/>
                <w:szCs w:val="21"/>
              </w:rPr>
              <w:t>Co</w:t>
            </w:r>
          </w:p>
        </w:tc>
        <w:tc>
          <w:tcPr>
            <w:tcW w:w="1224" w:type="dxa"/>
            <w:vAlign w:val="center"/>
          </w:tcPr>
          <w:p w14:paraId="7142281C">
            <w:pPr>
              <w:spacing w:line="360" w:lineRule="auto"/>
              <w:jc w:val="center"/>
              <w:rPr>
                <w:color w:val="000000"/>
                <w:szCs w:val="21"/>
              </w:rPr>
            </w:pPr>
            <w:r>
              <w:rPr>
                <w:color w:val="000000"/>
                <w:szCs w:val="21"/>
              </w:rPr>
              <w:t>77d</w:t>
            </w:r>
          </w:p>
        </w:tc>
      </w:tr>
      <w:tr w14:paraId="4D966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18685BD5">
            <w:pPr>
              <w:spacing w:line="360" w:lineRule="auto"/>
              <w:jc w:val="center"/>
              <w:rPr>
                <w:color w:val="000000"/>
                <w:szCs w:val="21"/>
              </w:rPr>
            </w:pPr>
          </w:p>
        </w:tc>
        <w:tc>
          <w:tcPr>
            <w:tcW w:w="1684" w:type="dxa"/>
            <w:vAlign w:val="center"/>
          </w:tcPr>
          <w:p w14:paraId="7697CC0C">
            <w:pPr>
              <w:spacing w:line="360" w:lineRule="auto"/>
              <w:jc w:val="center"/>
              <w:rPr>
                <w:color w:val="000000"/>
                <w:szCs w:val="21"/>
              </w:rPr>
            </w:pPr>
            <w:r>
              <w:rPr>
                <w:color w:val="000000"/>
                <w:szCs w:val="21"/>
                <w:vertAlign w:val="superscript"/>
              </w:rPr>
              <w:t>24</w:t>
            </w:r>
            <w:r>
              <w:rPr>
                <w:color w:val="000000"/>
                <w:szCs w:val="21"/>
              </w:rPr>
              <w:t>Na</w:t>
            </w:r>
          </w:p>
        </w:tc>
        <w:tc>
          <w:tcPr>
            <w:tcW w:w="1224" w:type="dxa"/>
            <w:vAlign w:val="center"/>
          </w:tcPr>
          <w:p w14:paraId="387BE81D">
            <w:pPr>
              <w:spacing w:line="360" w:lineRule="auto"/>
              <w:jc w:val="center"/>
              <w:rPr>
                <w:color w:val="000000"/>
                <w:szCs w:val="21"/>
              </w:rPr>
            </w:pPr>
            <w:r>
              <w:rPr>
                <w:color w:val="000000"/>
                <w:szCs w:val="21"/>
              </w:rPr>
              <w:t>15.0h</w:t>
            </w:r>
          </w:p>
        </w:tc>
        <w:tc>
          <w:tcPr>
            <w:tcW w:w="1224" w:type="dxa"/>
            <w:vMerge w:val="continue"/>
            <w:vAlign w:val="center"/>
          </w:tcPr>
          <w:p w14:paraId="04846ED7">
            <w:pPr>
              <w:spacing w:line="360" w:lineRule="auto"/>
              <w:jc w:val="center"/>
              <w:rPr>
                <w:color w:val="000000"/>
                <w:szCs w:val="21"/>
              </w:rPr>
            </w:pPr>
          </w:p>
        </w:tc>
        <w:tc>
          <w:tcPr>
            <w:tcW w:w="1684" w:type="dxa"/>
            <w:vAlign w:val="center"/>
          </w:tcPr>
          <w:p w14:paraId="679CDA76">
            <w:pPr>
              <w:spacing w:line="360" w:lineRule="auto"/>
              <w:jc w:val="center"/>
              <w:rPr>
                <w:color w:val="000000"/>
                <w:szCs w:val="21"/>
              </w:rPr>
            </w:pPr>
            <w:r>
              <w:rPr>
                <w:color w:val="000000"/>
                <w:szCs w:val="21"/>
                <w:vertAlign w:val="superscript"/>
              </w:rPr>
              <w:t>57</w:t>
            </w:r>
            <w:r>
              <w:rPr>
                <w:color w:val="000000"/>
                <w:szCs w:val="21"/>
              </w:rPr>
              <w:t>Co</w:t>
            </w:r>
          </w:p>
        </w:tc>
        <w:tc>
          <w:tcPr>
            <w:tcW w:w="1224" w:type="dxa"/>
            <w:vAlign w:val="center"/>
          </w:tcPr>
          <w:p w14:paraId="0775CF17">
            <w:pPr>
              <w:spacing w:line="360" w:lineRule="auto"/>
              <w:jc w:val="center"/>
              <w:rPr>
                <w:color w:val="000000"/>
                <w:szCs w:val="21"/>
              </w:rPr>
            </w:pPr>
            <w:r>
              <w:rPr>
                <w:color w:val="000000"/>
                <w:szCs w:val="21"/>
              </w:rPr>
              <w:t>270d</w:t>
            </w:r>
          </w:p>
        </w:tc>
      </w:tr>
      <w:tr w14:paraId="2B3F2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228" w:type="dxa"/>
            <w:vMerge w:val="continue"/>
            <w:vAlign w:val="center"/>
          </w:tcPr>
          <w:p w14:paraId="1CF74840">
            <w:pPr>
              <w:spacing w:line="360" w:lineRule="auto"/>
              <w:jc w:val="center"/>
              <w:rPr>
                <w:color w:val="000000"/>
                <w:szCs w:val="21"/>
              </w:rPr>
            </w:pPr>
          </w:p>
        </w:tc>
        <w:tc>
          <w:tcPr>
            <w:tcW w:w="1684" w:type="dxa"/>
            <w:vAlign w:val="center"/>
          </w:tcPr>
          <w:p w14:paraId="559B8049">
            <w:pPr>
              <w:spacing w:line="360" w:lineRule="auto"/>
              <w:jc w:val="center"/>
              <w:rPr>
                <w:color w:val="000000"/>
                <w:szCs w:val="21"/>
              </w:rPr>
            </w:pPr>
            <w:r>
              <w:rPr>
                <w:color w:val="000000"/>
                <w:szCs w:val="21"/>
                <w:vertAlign w:val="superscript"/>
              </w:rPr>
              <w:t>42</w:t>
            </w:r>
            <w:r>
              <w:rPr>
                <w:color w:val="000000"/>
                <w:szCs w:val="21"/>
              </w:rPr>
              <w:t>K</w:t>
            </w:r>
          </w:p>
        </w:tc>
        <w:tc>
          <w:tcPr>
            <w:tcW w:w="1224" w:type="dxa"/>
            <w:vAlign w:val="center"/>
          </w:tcPr>
          <w:p w14:paraId="499563D5">
            <w:pPr>
              <w:spacing w:line="360" w:lineRule="auto"/>
              <w:jc w:val="center"/>
              <w:rPr>
                <w:color w:val="000000"/>
                <w:szCs w:val="21"/>
              </w:rPr>
            </w:pPr>
            <w:r>
              <w:rPr>
                <w:color w:val="000000"/>
                <w:szCs w:val="21"/>
              </w:rPr>
              <w:t>12.47h</w:t>
            </w:r>
          </w:p>
        </w:tc>
        <w:tc>
          <w:tcPr>
            <w:tcW w:w="1224" w:type="dxa"/>
            <w:vMerge w:val="continue"/>
            <w:vAlign w:val="center"/>
          </w:tcPr>
          <w:p w14:paraId="0323D121">
            <w:pPr>
              <w:spacing w:line="360" w:lineRule="auto"/>
              <w:jc w:val="center"/>
              <w:rPr>
                <w:color w:val="000000"/>
                <w:szCs w:val="21"/>
              </w:rPr>
            </w:pPr>
          </w:p>
        </w:tc>
        <w:tc>
          <w:tcPr>
            <w:tcW w:w="1684" w:type="dxa"/>
            <w:vAlign w:val="center"/>
          </w:tcPr>
          <w:p w14:paraId="101A7DF0">
            <w:pPr>
              <w:spacing w:line="360" w:lineRule="auto"/>
              <w:jc w:val="center"/>
              <w:rPr>
                <w:color w:val="000000"/>
                <w:szCs w:val="21"/>
              </w:rPr>
            </w:pPr>
            <w:r>
              <w:rPr>
                <w:color w:val="000000"/>
                <w:szCs w:val="21"/>
                <w:vertAlign w:val="superscript"/>
              </w:rPr>
              <w:t>58</w:t>
            </w:r>
            <w:r>
              <w:rPr>
                <w:color w:val="000000"/>
                <w:szCs w:val="21"/>
              </w:rPr>
              <w:t>Co</w:t>
            </w:r>
          </w:p>
        </w:tc>
        <w:tc>
          <w:tcPr>
            <w:tcW w:w="1224" w:type="dxa"/>
            <w:vAlign w:val="center"/>
          </w:tcPr>
          <w:p w14:paraId="635E1457">
            <w:pPr>
              <w:spacing w:line="360" w:lineRule="auto"/>
              <w:jc w:val="center"/>
              <w:rPr>
                <w:color w:val="000000"/>
                <w:szCs w:val="21"/>
              </w:rPr>
            </w:pPr>
            <w:r>
              <w:rPr>
                <w:color w:val="000000"/>
                <w:szCs w:val="21"/>
              </w:rPr>
              <w:t>72d</w:t>
            </w:r>
          </w:p>
        </w:tc>
      </w:tr>
      <w:tr w14:paraId="17F9E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30F8B0AA">
            <w:pPr>
              <w:spacing w:line="360" w:lineRule="auto"/>
              <w:jc w:val="center"/>
              <w:rPr>
                <w:color w:val="000000"/>
                <w:szCs w:val="21"/>
              </w:rPr>
            </w:pPr>
          </w:p>
        </w:tc>
        <w:tc>
          <w:tcPr>
            <w:tcW w:w="1684" w:type="dxa"/>
            <w:vAlign w:val="center"/>
          </w:tcPr>
          <w:p w14:paraId="4F9E3C2E">
            <w:pPr>
              <w:spacing w:line="360" w:lineRule="auto"/>
              <w:jc w:val="center"/>
              <w:rPr>
                <w:color w:val="000000"/>
                <w:szCs w:val="21"/>
              </w:rPr>
            </w:pPr>
            <w:r>
              <w:rPr>
                <w:color w:val="000000"/>
                <w:szCs w:val="21"/>
                <w:vertAlign w:val="superscript"/>
              </w:rPr>
              <w:t>43</w:t>
            </w:r>
            <w:r>
              <w:rPr>
                <w:color w:val="000000"/>
                <w:szCs w:val="21"/>
              </w:rPr>
              <w:t>K</w:t>
            </w:r>
          </w:p>
        </w:tc>
        <w:tc>
          <w:tcPr>
            <w:tcW w:w="1224" w:type="dxa"/>
            <w:vAlign w:val="center"/>
          </w:tcPr>
          <w:p w14:paraId="04778310">
            <w:pPr>
              <w:spacing w:line="360" w:lineRule="auto"/>
              <w:jc w:val="center"/>
              <w:rPr>
                <w:color w:val="000000"/>
                <w:szCs w:val="21"/>
              </w:rPr>
            </w:pPr>
            <w:r>
              <w:rPr>
                <w:color w:val="000000"/>
                <w:szCs w:val="21"/>
              </w:rPr>
              <w:t>22.4h</w:t>
            </w:r>
          </w:p>
        </w:tc>
        <w:tc>
          <w:tcPr>
            <w:tcW w:w="1224" w:type="dxa"/>
            <w:vMerge w:val="continue"/>
            <w:vAlign w:val="center"/>
          </w:tcPr>
          <w:p w14:paraId="77EBA1D3">
            <w:pPr>
              <w:spacing w:line="360" w:lineRule="auto"/>
              <w:jc w:val="center"/>
              <w:rPr>
                <w:color w:val="000000"/>
                <w:szCs w:val="21"/>
              </w:rPr>
            </w:pPr>
          </w:p>
        </w:tc>
        <w:tc>
          <w:tcPr>
            <w:tcW w:w="1684" w:type="dxa"/>
            <w:vAlign w:val="center"/>
          </w:tcPr>
          <w:p w14:paraId="25AC1184">
            <w:pPr>
              <w:spacing w:line="360" w:lineRule="auto"/>
              <w:jc w:val="center"/>
              <w:rPr>
                <w:color w:val="000000"/>
                <w:szCs w:val="21"/>
              </w:rPr>
            </w:pPr>
            <w:r>
              <w:rPr>
                <w:color w:val="000000"/>
                <w:szCs w:val="21"/>
                <w:vertAlign w:val="superscript"/>
              </w:rPr>
              <w:t>55</w:t>
            </w:r>
            <w:r>
              <w:rPr>
                <w:color w:val="000000"/>
                <w:szCs w:val="21"/>
              </w:rPr>
              <w:t>Fe</w:t>
            </w:r>
          </w:p>
        </w:tc>
        <w:tc>
          <w:tcPr>
            <w:tcW w:w="1224" w:type="dxa"/>
            <w:vAlign w:val="center"/>
          </w:tcPr>
          <w:p w14:paraId="5528C427">
            <w:pPr>
              <w:spacing w:line="360" w:lineRule="auto"/>
              <w:jc w:val="center"/>
              <w:rPr>
                <w:color w:val="000000"/>
                <w:szCs w:val="21"/>
              </w:rPr>
            </w:pPr>
            <w:r>
              <w:rPr>
                <w:color w:val="000000"/>
                <w:szCs w:val="21"/>
              </w:rPr>
              <w:t>2.94a</w:t>
            </w:r>
          </w:p>
        </w:tc>
      </w:tr>
      <w:tr w14:paraId="1FAC9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68F10CC9">
            <w:pPr>
              <w:spacing w:line="360" w:lineRule="auto"/>
              <w:jc w:val="center"/>
              <w:rPr>
                <w:color w:val="000000"/>
                <w:szCs w:val="21"/>
              </w:rPr>
            </w:pPr>
          </w:p>
        </w:tc>
        <w:tc>
          <w:tcPr>
            <w:tcW w:w="1684" w:type="dxa"/>
            <w:vAlign w:val="center"/>
          </w:tcPr>
          <w:p w14:paraId="028460C7">
            <w:pPr>
              <w:spacing w:line="360" w:lineRule="auto"/>
              <w:jc w:val="center"/>
              <w:rPr>
                <w:color w:val="000000"/>
                <w:szCs w:val="21"/>
              </w:rPr>
            </w:pPr>
            <w:r>
              <w:rPr>
                <w:color w:val="000000"/>
                <w:szCs w:val="21"/>
                <w:vertAlign w:val="superscript"/>
              </w:rPr>
              <w:t>44</w:t>
            </w:r>
            <w:r>
              <w:rPr>
                <w:color w:val="000000"/>
                <w:szCs w:val="21"/>
              </w:rPr>
              <w:t>Sc</w:t>
            </w:r>
          </w:p>
        </w:tc>
        <w:tc>
          <w:tcPr>
            <w:tcW w:w="1224" w:type="dxa"/>
            <w:vAlign w:val="center"/>
          </w:tcPr>
          <w:p w14:paraId="2B815908">
            <w:pPr>
              <w:spacing w:line="360" w:lineRule="auto"/>
              <w:jc w:val="center"/>
              <w:rPr>
                <w:color w:val="000000"/>
                <w:szCs w:val="21"/>
              </w:rPr>
            </w:pPr>
            <w:r>
              <w:rPr>
                <w:color w:val="000000"/>
                <w:szCs w:val="21"/>
              </w:rPr>
              <w:t>3.92h</w:t>
            </w:r>
          </w:p>
        </w:tc>
        <w:tc>
          <w:tcPr>
            <w:tcW w:w="1224" w:type="dxa"/>
            <w:vMerge w:val="restart"/>
            <w:vAlign w:val="center"/>
          </w:tcPr>
          <w:p w14:paraId="1C415E3A">
            <w:pPr>
              <w:spacing w:line="360" w:lineRule="auto"/>
              <w:jc w:val="center"/>
              <w:rPr>
                <w:color w:val="000000"/>
                <w:szCs w:val="21"/>
              </w:rPr>
            </w:pPr>
            <w:r>
              <w:rPr>
                <w:color w:val="000000"/>
                <w:szCs w:val="21"/>
              </w:rPr>
              <w:t>镍</w:t>
            </w:r>
          </w:p>
        </w:tc>
        <w:tc>
          <w:tcPr>
            <w:tcW w:w="1684" w:type="dxa"/>
            <w:vAlign w:val="center"/>
          </w:tcPr>
          <w:p w14:paraId="12C8AB25">
            <w:pPr>
              <w:spacing w:line="360" w:lineRule="auto"/>
              <w:jc w:val="center"/>
              <w:rPr>
                <w:color w:val="000000"/>
                <w:szCs w:val="21"/>
              </w:rPr>
            </w:pPr>
            <w:r>
              <w:rPr>
                <w:color w:val="000000"/>
                <w:szCs w:val="21"/>
                <w:vertAlign w:val="superscript"/>
              </w:rPr>
              <w:t>58</w:t>
            </w:r>
            <w:r>
              <w:rPr>
                <w:color w:val="000000"/>
                <w:szCs w:val="21"/>
              </w:rPr>
              <w:t>Fe</w:t>
            </w:r>
          </w:p>
        </w:tc>
        <w:tc>
          <w:tcPr>
            <w:tcW w:w="1224" w:type="dxa"/>
            <w:vAlign w:val="center"/>
          </w:tcPr>
          <w:p w14:paraId="375A5646">
            <w:pPr>
              <w:spacing w:line="360" w:lineRule="auto"/>
              <w:jc w:val="center"/>
              <w:rPr>
                <w:color w:val="000000"/>
                <w:szCs w:val="21"/>
              </w:rPr>
            </w:pPr>
            <w:r>
              <w:rPr>
                <w:color w:val="000000"/>
                <w:szCs w:val="21"/>
              </w:rPr>
              <w:t>5.1d</w:t>
            </w:r>
          </w:p>
        </w:tc>
      </w:tr>
      <w:tr w14:paraId="63CD8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3C65988A">
            <w:pPr>
              <w:spacing w:line="360" w:lineRule="auto"/>
              <w:jc w:val="center"/>
              <w:rPr>
                <w:color w:val="000000"/>
                <w:szCs w:val="21"/>
              </w:rPr>
            </w:pPr>
          </w:p>
        </w:tc>
        <w:tc>
          <w:tcPr>
            <w:tcW w:w="1684" w:type="dxa"/>
            <w:vAlign w:val="center"/>
          </w:tcPr>
          <w:p w14:paraId="2099B483">
            <w:pPr>
              <w:spacing w:line="360" w:lineRule="auto"/>
              <w:jc w:val="center"/>
              <w:rPr>
                <w:color w:val="000000"/>
                <w:szCs w:val="21"/>
              </w:rPr>
            </w:pPr>
            <w:r>
              <w:rPr>
                <w:color w:val="000000"/>
                <w:szCs w:val="21"/>
                <w:vertAlign w:val="superscript"/>
              </w:rPr>
              <w:t>44m</w:t>
            </w:r>
            <w:r>
              <w:rPr>
                <w:color w:val="000000"/>
                <w:szCs w:val="21"/>
              </w:rPr>
              <w:t>Sc</w:t>
            </w:r>
          </w:p>
        </w:tc>
        <w:tc>
          <w:tcPr>
            <w:tcW w:w="1224" w:type="dxa"/>
            <w:vAlign w:val="center"/>
          </w:tcPr>
          <w:p w14:paraId="43AEB8EA">
            <w:pPr>
              <w:spacing w:line="360" w:lineRule="auto"/>
              <w:jc w:val="center"/>
              <w:rPr>
                <w:color w:val="000000"/>
                <w:szCs w:val="21"/>
              </w:rPr>
            </w:pPr>
            <w:r>
              <w:rPr>
                <w:color w:val="000000"/>
                <w:szCs w:val="21"/>
              </w:rPr>
              <w:t>2.44d</w:t>
            </w:r>
          </w:p>
        </w:tc>
        <w:tc>
          <w:tcPr>
            <w:tcW w:w="1224" w:type="dxa"/>
            <w:vMerge w:val="continue"/>
            <w:vAlign w:val="center"/>
          </w:tcPr>
          <w:p w14:paraId="20F8D31C">
            <w:pPr>
              <w:spacing w:line="360" w:lineRule="auto"/>
              <w:jc w:val="center"/>
              <w:rPr>
                <w:color w:val="000000"/>
                <w:szCs w:val="21"/>
              </w:rPr>
            </w:pPr>
          </w:p>
        </w:tc>
        <w:tc>
          <w:tcPr>
            <w:tcW w:w="1684" w:type="dxa"/>
            <w:vAlign w:val="center"/>
          </w:tcPr>
          <w:p w14:paraId="04C79472">
            <w:pPr>
              <w:spacing w:line="360" w:lineRule="auto"/>
              <w:jc w:val="center"/>
              <w:rPr>
                <w:color w:val="000000"/>
                <w:szCs w:val="21"/>
              </w:rPr>
            </w:pPr>
            <w:r>
              <w:rPr>
                <w:color w:val="000000"/>
                <w:szCs w:val="21"/>
              </w:rPr>
              <w:t>同上加以下</w:t>
            </w:r>
          </w:p>
        </w:tc>
        <w:tc>
          <w:tcPr>
            <w:tcW w:w="1224" w:type="dxa"/>
            <w:vAlign w:val="center"/>
          </w:tcPr>
          <w:p w14:paraId="77968086">
            <w:pPr>
              <w:spacing w:line="360" w:lineRule="auto"/>
              <w:jc w:val="center"/>
              <w:rPr>
                <w:color w:val="000000"/>
                <w:szCs w:val="21"/>
              </w:rPr>
            </w:pPr>
          </w:p>
        </w:tc>
      </w:tr>
      <w:tr w14:paraId="7AA51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5FC74001">
            <w:pPr>
              <w:spacing w:line="360" w:lineRule="auto"/>
              <w:jc w:val="center"/>
              <w:rPr>
                <w:color w:val="000000"/>
                <w:szCs w:val="21"/>
              </w:rPr>
            </w:pPr>
          </w:p>
        </w:tc>
        <w:tc>
          <w:tcPr>
            <w:tcW w:w="1684" w:type="dxa"/>
            <w:vAlign w:val="center"/>
          </w:tcPr>
          <w:p w14:paraId="79EF4A77">
            <w:pPr>
              <w:spacing w:line="360" w:lineRule="auto"/>
              <w:jc w:val="center"/>
              <w:rPr>
                <w:color w:val="000000"/>
                <w:szCs w:val="21"/>
              </w:rPr>
            </w:pPr>
            <w:r>
              <w:rPr>
                <w:color w:val="000000"/>
                <w:szCs w:val="21"/>
                <w:vertAlign w:val="superscript"/>
              </w:rPr>
              <w:t>46</w:t>
            </w:r>
            <w:r>
              <w:rPr>
                <w:color w:val="000000"/>
                <w:szCs w:val="21"/>
              </w:rPr>
              <w:t>Sc</w:t>
            </w:r>
          </w:p>
        </w:tc>
        <w:tc>
          <w:tcPr>
            <w:tcW w:w="1224" w:type="dxa"/>
            <w:vAlign w:val="center"/>
          </w:tcPr>
          <w:p w14:paraId="6C08AAD8">
            <w:pPr>
              <w:spacing w:line="360" w:lineRule="auto"/>
              <w:jc w:val="center"/>
              <w:rPr>
                <w:color w:val="000000"/>
                <w:szCs w:val="21"/>
              </w:rPr>
            </w:pPr>
            <w:r>
              <w:rPr>
                <w:color w:val="000000"/>
                <w:szCs w:val="21"/>
              </w:rPr>
              <w:t>83.8d</w:t>
            </w:r>
          </w:p>
        </w:tc>
        <w:tc>
          <w:tcPr>
            <w:tcW w:w="1224" w:type="dxa"/>
            <w:vMerge w:val="continue"/>
            <w:vAlign w:val="center"/>
          </w:tcPr>
          <w:p w14:paraId="238F04CD">
            <w:pPr>
              <w:spacing w:line="360" w:lineRule="auto"/>
              <w:jc w:val="center"/>
              <w:rPr>
                <w:color w:val="000000"/>
                <w:szCs w:val="21"/>
              </w:rPr>
            </w:pPr>
          </w:p>
        </w:tc>
        <w:tc>
          <w:tcPr>
            <w:tcW w:w="1684" w:type="dxa"/>
            <w:vAlign w:val="center"/>
          </w:tcPr>
          <w:p w14:paraId="40B7E857">
            <w:pPr>
              <w:spacing w:line="360" w:lineRule="auto"/>
              <w:jc w:val="center"/>
              <w:rPr>
                <w:color w:val="000000"/>
                <w:szCs w:val="21"/>
              </w:rPr>
            </w:pPr>
            <w:r>
              <w:rPr>
                <w:color w:val="000000"/>
                <w:szCs w:val="21"/>
                <w:vertAlign w:val="superscript"/>
              </w:rPr>
              <w:t>65</w:t>
            </w:r>
            <w:r>
              <w:rPr>
                <w:color w:val="000000"/>
                <w:szCs w:val="21"/>
              </w:rPr>
              <w:t>Ni</w:t>
            </w:r>
          </w:p>
        </w:tc>
        <w:tc>
          <w:tcPr>
            <w:tcW w:w="1224" w:type="dxa"/>
            <w:vAlign w:val="center"/>
          </w:tcPr>
          <w:p w14:paraId="6A593076">
            <w:pPr>
              <w:spacing w:line="360" w:lineRule="auto"/>
              <w:jc w:val="center"/>
              <w:rPr>
                <w:color w:val="000000"/>
                <w:szCs w:val="21"/>
              </w:rPr>
            </w:pPr>
            <w:r>
              <w:rPr>
                <w:color w:val="000000"/>
                <w:szCs w:val="21"/>
              </w:rPr>
              <w:t>2.56h</w:t>
            </w:r>
          </w:p>
        </w:tc>
      </w:tr>
      <w:tr w14:paraId="55B96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28" w:type="dxa"/>
            <w:vMerge w:val="continue"/>
            <w:vAlign w:val="center"/>
          </w:tcPr>
          <w:p w14:paraId="2B668A0F">
            <w:pPr>
              <w:spacing w:line="360" w:lineRule="auto"/>
              <w:jc w:val="center"/>
              <w:rPr>
                <w:color w:val="000000"/>
                <w:szCs w:val="21"/>
              </w:rPr>
            </w:pPr>
          </w:p>
        </w:tc>
        <w:tc>
          <w:tcPr>
            <w:tcW w:w="1684" w:type="dxa"/>
            <w:vAlign w:val="center"/>
          </w:tcPr>
          <w:p w14:paraId="17CB226A">
            <w:pPr>
              <w:spacing w:line="360" w:lineRule="auto"/>
              <w:jc w:val="center"/>
              <w:rPr>
                <w:color w:val="000000"/>
                <w:szCs w:val="21"/>
              </w:rPr>
            </w:pPr>
            <w:r>
              <w:rPr>
                <w:color w:val="000000"/>
                <w:szCs w:val="21"/>
                <w:vertAlign w:val="superscript"/>
              </w:rPr>
              <w:t>47</w:t>
            </w:r>
            <w:r>
              <w:rPr>
                <w:color w:val="000000"/>
                <w:szCs w:val="21"/>
              </w:rPr>
              <w:t>Sc</w:t>
            </w:r>
          </w:p>
        </w:tc>
        <w:tc>
          <w:tcPr>
            <w:tcW w:w="1224" w:type="dxa"/>
            <w:vAlign w:val="center"/>
          </w:tcPr>
          <w:p w14:paraId="66F4027D">
            <w:pPr>
              <w:spacing w:line="360" w:lineRule="auto"/>
              <w:jc w:val="center"/>
              <w:rPr>
                <w:color w:val="000000"/>
                <w:szCs w:val="21"/>
              </w:rPr>
            </w:pPr>
            <w:r>
              <w:rPr>
                <w:color w:val="000000"/>
                <w:szCs w:val="21"/>
              </w:rPr>
              <w:t>3.43d</w:t>
            </w:r>
          </w:p>
        </w:tc>
        <w:tc>
          <w:tcPr>
            <w:tcW w:w="1224" w:type="dxa"/>
            <w:vMerge w:val="continue"/>
            <w:vAlign w:val="center"/>
          </w:tcPr>
          <w:p w14:paraId="3A106847">
            <w:pPr>
              <w:spacing w:line="360" w:lineRule="auto"/>
              <w:jc w:val="center"/>
              <w:rPr>
                <w:color w:val="000000"/>
                <w:szCs w:val="21"/>
              </w:rPr>
            </w:pPr>
          </w:p>
        </w:tc>
        <w:tc>
          <w:tcPr>
            <w:tcW w:w="1684" w:type="dxa"/>
            <w:vAlign w:val="center"/>
          </w:tcPr>
          <w:p w14:paraId="227D30BB">
            <w:pPr>
              <w:spacing w:line="360" w:lineRule="auto"/>
              <w:jc w:val="center"/>
              <w:rPr>
                <w:color w:val="000000"/>
                <w:szCs w:val="21"/>
              </w:rPr>
            </w:pPr>
            <w:r>
              <w:rPr>
                <w:color w:val="000000"/>
                <w:szCs w:val="21"/>
                <w:vertAlign w:val="superscript"/>
              </w:rPr>
              <w:t>61</w:t>
            </w:r>
            <w:r>
              <w:rPr>
                <w:color w:val="000000"/>
                <w:szCs w:val="21"/>
              </w:rPr>
              <w:t>Cu</w:t>
            </w:r>
          </w:p>
        </w:tc>
        <w:tc>
          <w:tcPr>
            <w:tcW w:w="1224" w:type="dxa"/>
            <w:vAlign w:val="center"/>
          </w:tcPr>
          <w:p w14:paraId="37C32D9B">
            <w:pPr>
              <w:spacing w:line="360" w:lineRule="auto"/>
              <w:jc w:val="center"/>
              <w:rPr>
                <w:color w:val="000000"/>
                <w:szCs w:val="21"/>
              </w:rPr>
            </w:pPr>
            <w:r>
              <w:rPr>
                <w:color w:val="000000"/>
                <w:szCs w:val="21"/>
              </w:rPr>
              <w:t>3.33h</w:t>
            </w:r>
          </w:p>
        </w:tc>
      </w:tr>
      <w:tr w14:paraId="1B8E8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1228" w:type="dxa"/>
            <w:vMerge w:val="continue"/>
            <w:vAlign w:val="center"/>
          </w:tcPr>
          <w:p w14:paraId="4560BF31">
            <w:pPr>
              <w:spacing w:line="360" w:lineRule="auto"/>
              <w:jc w:val="center"/>
              <w:rPr>
                <w:color w:val="000000"/>
                <w:szCs w:val="21"/>
              </w:rPr>
            </w:pPr>
          </w:p>
        </w:tc>
        <w:tc>
          <w:tcPr>
            <w:tcW w:w="1684" w:type="dxa"/>
            <w:vAlign w:val="center"/>
          </w:tcPr>
          <w:p w14:paraId="2B939E02">
            <w:pPr>
              <w:spacing w:line="360" w:lineRule="auto"/>
              <w:jc w:val="center"/>
              <w:rPr>
                <w:color w:val="000000"/>
                <w:szCs w:val="21"/>
              </w:rPr>
            </w:pPr>
            <w:r>
              <w:rPr>
                <w:color w:val="000000"/>
                <w:szCs w:val="21"/>
                <w:vertAlign w:val="superscript"/>
              </w:rPr>
              <w:t>49</w:t>
            </w:r>
            <w:r>
              <w:rPr>
                <w:color w:val="000000"/>
                <w:szCs w:val="21"/>
              </w:rPr>
              <w:t>Sc</w:t>
            </w:r>
          </w:p>
        </w:tc>
        <w:tc>
          <w:tcPr>
            <w:tcW w:w="1224" w:type="dxa"/>
            <w:vAlign w:val="center"/>
          </w:tcPr>
          <w:p w14:paraId="59217915">
            <w:pPr>
              <w:spacing w:line="360" w:lineRule="auto"/>
              <w:jc w:val="center"/>
              <w:rPr>
                <w:color w:val="000000"/>
                <w:szCs w:val="21"/>
              </w:rPr>
            </w:pPr>
            <w:r>
              <w:rPr>
                <w:color w:val="000000"/>
                <w:szCs w:val="21"/>
              </w:rPr>
              <w:t>0.956h</w:t>
            </w:r>
          </w:p>
        </w:tc>
        <w:tc>
          <w:tcPr>
            <w:tcW w:w="1224" w:type="dxa"/>
            <w:vMerge w:val="continue"/>
            <w:vAlign w:val="center"/>
          </w:tcPr>
          <w:p w14:paraId="742F09F8">
            <w:pPr>
              <w:spacing w:line="360" w:lineRule="auto"/>
              <w:jc w:val="center"/>
              <w:rPr>
                <w:color w:val="000000"/>
                <w:szCs w:val="21"/>
              </w:rPr>
            </w:pPr>
          </w:p>
        </w:tc>
        <w:tc>
          <w:tcPr>
            <w:tcW w:w="1684" w:type="dxa"/>
            <w:vAlign w:val="center"/>
          </w:tcPr>
          <w:p w14:paraId="4B9E6C26">
            <w:pPr>
              <w:spacing w:line="360" w:lineRule="auto"/>
              <w:jc w:val="center"/>
              <w:rPr>
                <w:color w:val="000000"/>
                <w:szCs w:val="21"/>
              </w:rPr>
            </w:pPr>
            <w:r>
              <w:rPr>
                <w:color w:val="000000"/>
                <w:szCs w:val="21"/>
                <w:vertAlign w:val="superscript"/>
              </w:rPr>
              <w:t>62</w:t>
            </w:r>
            <w:r>
              <w:rPr>
                <w:color w:val="000000"/>
                <w:szCs w:val="21"/>
              </w:rPr>
              <w:t>Cu</w:t>
            </w:r>
          </w:p>
        </w:tc>
        <w:tc>
          <w:tcPr>
            <w:tcW w:w="1224" w:type="dxa"/>
            <w:vAlign w:val="center"/>
          </w:tcPr>
          <w:p w14:paraId="17A7CDCA">
            <w:pPr>
              <w:spacing w:line="360" w:lineRule="auto"/>
              <w:jc w:val="center"/>
              <w:rPr>
                <w:color w:val="000000"/>
                <w:szCs w:val="21"/>
              </w:rPr>
            </w:pPr>
            <w:r>
              <w:rPr>
                <w:color w:val="000000"/>
                <w:szCs w:val="21"/>
              </w:rPr>
              <w:t>9.80min</w:t>
            </w:r>
          </w:p>
        </w:tc>
      </w:tr>
      <w:tr w14:paraId="10212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228" w:type="dxa"/>
            <w:vMerge w:val="continue"/>
            <w:vAlign w:val="center"/>
          </w:tcPr>
          <w:p w14:paraId="469E0975">
            <w:pPr>
              <w:spacing w:line="360" w:lineRule="auto"/>
              <w:jc w:val="center"/>
              <w:rPr>
                <w:color w:val="000000"/>
                <w:szCs w:val="21"/>
              </w:rPr>
            </w:pPr>
          </w:p>
        </w:tc>
        <w:tc>
          <w:tcPr>
            <w:tcW w:w="1684" w:type="dxa"/>
            <w:vAlign w:val="center"/>
          </w:tcPr>
          <w:p w14:paraId="37DDBA73">
            <w:pPr>
              <w:spacing w:line="360" w:lineRule="auto"/>
              <w:jc w:val="center"/>
              <w:rPr>
                <w:color w:val="000000"/>
                <w:szCs w:val="21"/>
              </w:rPr>
            </w:pPr>
            <w:r>
              <w:rPr>
                <w:color w:val="000000"/>
                <w:szCs w:val="21"/>
                <w:vertAlign w:val="superscript"/>
              </w:rPr>
              <w:t>48</w:t>
            </w:r>
            <w:r>
              <w:rPr>
                <w:color w:val="000000"/>
                <w:szCs w:val="21"/>
              </w:rPr>
              <w:t>V</w:t>
            </w:r>
          </w:p>
        </w:tc>
        <w:tc>
          <w:tcPr>
            <w:tcW w:w="1224" w:type="dxa"/>
            <w:vAlign w:val="center"/>
          </w:tcPr>
          <w:p w14:paraId="5046ABA9">
            <w:pPr>
              <w:spacing w:line="360" w:lineRule="auto"/>
              <w:jc w:val="center"/>
              <w:rPr>
                <w:color w:val="000000"/>
                <w:szCs w:val="21"/>
              </w:rPr>
            </w:pPr>
            <w:r>
              <w:rPr>
                <w:color w:val="000000"/>
                <w:szCs w:val="21"/>
              </w:rPr>
              <w:t>16.0d</w:t>
            </w:r>
          </w:p>
        </w:tc>
        <w:tc>
          <w:tcPr>
            <w:tcW w:w="1224" w:type="dxa"/>
            <w:vMerge w:val="continue"/>
            <w:vAlign w:val="center"/>
          </w:tcPr>
          <w:p w14:paraId="42346316">
            <w:pPr>
              <w:spacing w:line="360" w:lineRule="auto"/>
              <w:jc w:val="center"/>
              <w:rPr>
                <w:color w:val="000000"/>
                <w:szCs w:val="21"/>
              </w:rPr>
            </w:pPr>
          </w:p>
        </w:tc>
        <w:tc>
          <w:tcPr>
            <w:tcW w:w="1684" w:type="dxa"/>
            <w:vAlign w:val="center"/>
          </w:tcPr>
          <w:p w14:paraId="6ECA2406">
            <w:pPr>
              <w:spacing w:line="360" w:lineRule="auto"/>
              <w:jc w:val="center"/>
              <w:rPr>
                <w:color w:val="000000"/>
                <w:szCs w:val="21"/>
              </w:rPr>
            </w:pPr>
            <w:r>
              <w:rPr>
                <w:color w:val="000000"/>
                <w:szCs w:val="21"/>
                <w:vertAlign w:val="superscript"/>
              </w:rPr>
              <w:t>64</w:t>
            </w:r>
            <w:r>
              <w:rPr>
                <w:color w:val="000000"/>
                <w:szCs w:val="21"/>
              </w:rPr>
              <w:t>Cu</w:t>
            </w:r>
          </w:p>
        </w:tc>
        <w:tc>
          <w:tcPr>
            <w:tcW w:w="1224" w:type="dxa"/>
            <w:vAlign w:val="center"/>
          </w:tcPr>
          <w:p w14:paraId="5BD4DCA2">
            <w:pPr>
              <w:spacing w:line="360" w:lineRule="auto"/>
              <w:jc w:val="center"/>
              <w:rPr>
                <w:color w:val="000000"/>
                <w:szCs w:val="21"/>
              </w:rPr>
            </w:pPr>
            <w:r>
              <w:rPr>
                <w:color w:val="000000"/>
                <w:szCs w:val="21"/>
              </w:rPr>
              <w:t>12.82h</w:t>
            </w:r>
          </w:p>
        </w:tc>
      </w:tr>
    </w:tbl>
    <w:p w14:paraId="1D47AF00"/>
    <w:p w14:paraId="6314B7FE">
      <w:pPr>
        <w:pStyle w:val="8"/>
      </w:pPr>
      <w:r>
        <w:t>医院对质子治疗系统产生的放射性固体废物分类收集和包装，结构部件的放射性活度浓度一般高于豁免水平，需要对拆卸下来的部件加强管理，进行辐射水平监测、登记，暂存在地下一层北侧的固废间暂存，该区域门外张贴电离辐射警告标志，放射性固体废物暂存在固体废物暂存容器内，容器外包装贴有标签，标明废物名称、数量、来源、剂量率水平和存放日期等信息，并配备专门的管理人员，负责放射性固体废物的安全管理。</w:t>
      </w:r>
    </w:p>
    <w:p w14:paraId="2CE3706E">
      <w:pPr>
        <w:pStyle w:val="8"/>
      </w:pPr>
      <w:r>
        <w:t>当固废间废物暂存量接近容积的2/3时，由医院委托有资质单位进行检测分析：</w:t>
      </w:r>
    </w:p>
    <w:p w14:paraId="2C5CE7AE">
      <w:pPr>
        <w:pStyle w:val="8"/>
      </w:pPr>
      <w:r>
        <w:t>1）测量放射性固体废物的表面辐射剂量率，若为本底水平：</w:t>
      </w:r>
    </w:p>
    <w:p w14:paraId="0330CF23">
      <w:pPr>
        <w:pStyle w:val="8"/>
      </w:pPr>
      <w:r>
        <w:rPr>
          <w:rFonts w:ascii="Cambria Math" w:hAnsi="Cambria Math" w:cs="Cambria Math"/>
        </w:rPr>
        <w:t>①</w:t>
      </w:r>
      <w:r>
        <w:t>可回收利用的部件，回收后复用；</w:t>
      </w:r>
    </w:p>
    <w:p w14:paraId="02872BCA">
      <w:pPr>
        <w:pStyle w:val="8"/>
      </w:pPr>
      <w:r>
        <w:rPr>
          <w:rFonts w:ascii="Cambria Math" w:hAnsi="Cambria Math" w:cs="Cambria Math"/>
        </w:rPr>
        <w:t>②</w:t>
      </w:r>
      <w:r>
        <w:t>不能回收利用的部件，经审管部门认可后，解控后按一般废物处理。</w:t>
      </w:r>
    </w:p>
    <w:p w14:paraId="16A78F19">
      <w:pPr>
        <w:pStyle w:val="8"/>
      </w:pPr>
      <w:r>
        <w:t>2）若辐射剂量率高于本底水平，由医院委托有资质单位处理。</w:t>
      </w:r>
    </w:p>
    <w:p w14:paraId="3570DD52">
      <w:pPr>
        <w:pStyle w:val="8"/>
      </w:pPr>
      <w:r>
        <w:t>医院应建立放射性固态废物台账，存放及处置前进行监测，记录部件名称、质量、辐射类别、监测设备、监测结果（剂量当量率</w:t>
      </w:r>
      <w:r>
        <w:rPr>
          <w:lang w:eastAsia="zh-CN"/>
        </w:rPr>
        <w:t>）</w:t>
      </w:r>
      <w:r>
        <w:t>、监测日期、去向等相关信息。</w:t>
      </w:r>
    </w:p>
    <w:bookmarkEnd w:id="715"/>
    <w:p w14:paraId="62909221">
      <w:pPr>
        <w:pStyle w:val="3"/>
        <w:rPr>
          <w:rFonts w:ascii="Times New Roman" w:hAnsi="Times New Roman" w:eastAsia="宋体"/>
          <w:lang w:eastAsia="zh-CN"/>
        </w:rPr>
      </w:pPr>
      <w:bookmarkStart w:id="732" w:name="_Toc209125232"/>
      <w:r>
        <w:rPr>
          <w:rFonts w:ascii="Times New Roman" w:hAnsi="Times New Roman" w:eastAsia="宋体"/>
          <w:lang w:eastAsia="zh-CN"/>
        </w:rPr>
        <w:t>风险防范措施及应急预案</w:t>
      </w:r>
      <w:bookmarkEnd w:id="732"/>
    </w:p>
    <w:p w14:paraId="33F240C3">
      <w:pPr>
        <w:pStyle w:val="8"/>
        <w:rPr>
          <w:kern w:val="0"/>
          <w:lang w:eastAsia="zh-CN"/>
        </w:rPr>
      </w:pPr>
      <w:r>
        <w:t>质子治疗系统的核心是回旋加速器，</w:t>
      </w:r>
      <w:r>
        <w:rPr>
          <w:lang w:eastAsia="zh-CN"/>
        </w:rPr>
        <w:t>其辐射场是瞬发性的，装置一旦停机，能造成环境影响的辐射源立即消失，且不会再引起周边介质的活化。</w:t>
      </w:r>
    </w:p>
    <w:p w14:paraId="6FAB3A06">
      <w:pPr>
        <w:pStyle w:val="8"/>
        <w:rPr>
          <w:lang w:eastAsia="zh-CN"/>
        </w:rPr>
      </w:pPr>
      <w:r>
        <w:t>质子治疗系统运行期间可能发生的事故主要有因安全联锁系统失效、人员误入治疗机房内部或工作人员在机房内工作期间设备出束造成的人员误照射事故和冷却水泄漏事故。</w:t>
      </w:r>
    </w:p>
    <w:p w14:paraId="6D779628">
      <w:pPr>
        <w:pStyle w:val="8"/>
        <w:rPr>
          <w:kern w:val="0"/>
          <w:lang w:eastAsia="zh-CN"/>
        </w:rPr>
      </w:pPr>
      <w:r>
        <w:t>人员误照射事故中</w:t>
      </w:r>
      <w:r>
        <w:rPr>
          <w:lang w:eastAsia="zh-CN"/>
        </w:rPr>
        <w:t>，</w:t>
      </w:r>
      <w:r>
        <w:t>工作人员在机房内工作期间设备出束的情况下</w:t>
      </w:r>
      <w:r>
        <w:rPr>
          <w:lang w:eastAsia="zh-CN"/>
        </w:rPr>
        <w:t>，</w:t>
      </w:r>
      <w:r>
        <w:t>工作人员受照剂量最大</w:t>
      </w:r>
      <w:r>
        <w:rPr>
          <w:lang w:eastAsia="zh-CN"/>
        </w:rPr>
        <w:t>，</w:t>
      </w:r>
      <w:r>
        <w:t>本次评价对该事故期间的人员受照剂量进行估算</w:t>
      </w:r>
      <w:r>
        <w:rPr>
          <w:lang w:eastAsia="zh-CN"/>
        </w:rPr>
        <w:t>。</w:t>
      </w:r>
    </w:p>
    <w:p w14:paraId="1FC8723F">
      <w:pPr>
        <w:pStyle w:val="8"/>
        <w:rPr>
          <w:lang w:eastAsia="zh-CN"/>
        </w:rPr>
      </w:pPr>
      <w:r>
        <w:rPr>
          <w:lang w:eastAsia="zh-CN"/>
        </w:rPr>
        <w:t>质子治疗系统出束时，距离治疗头1m处输出剂量率为2Gy/min，保守假设工作人员在距离治疗头1m处工作。保守取单次治疗时间</w:t>
      </w:r>
      <w:r>
        <w:rPr>
          <w:rFonts w:hint="eastAsia"/>
          <w:lang w:eastAsia="zh-CN"/>
        </w:rPr>
        <w:t>2</w:t>
      </w:r>
      <w:r>
        <w:rPr>
          <w:lang w:eastAsia="zh-CN"/>
        </w:rPr>
        <w:t xml:space="preserve">min为工作人员在该事故发生期间的受照时间，由此可计算得出事故期间工作人员的受照剂量约为 </w:t>
      </w:r>
      <w:r>
        <w:rPr>
          <w:rFonts w:hint="eastAsia"/>
          <w:lang w:eastAsia="zh-CN"/>
        </w:rPr>
        <w:t>4</w:t>
      </w:r>
      <w:r>
        <w:rPr>
          <w:lang w:eastAsia="zh-CN"/>
        </w:rPr>
        <w:t>Gy。</w:t>
      </w:r>
    </w:p>
    <w:p w14:paraId="67D39C26">
      <w:pPr>
        <w:pStyle w:val="8"/>
      </w:pPr>
      <w:r>
        <w:rPr>
          <w:lang w:eastAsia="zh-CN"/>
        </w:rPr>
        <w:t>电离辐射引起的生物效应包括随机效应和确定性效应。随机效应的发生不存在剂量的阈值，其发生几率与受照剂量的大小有关，如遗传效应和某些躯体效应（即癌症）。确定性效应的发生存在阈值效应，其效应的严重程度随受照剂量的大小而异，剂量愈高则效应的严重程度愈大。</w:t>
      </w:r>
      <w:r>
        <w:t>由于各辐射工作场所屏蔽结构保持完好，因此该类事故对周围环境不会造成超过控制水平限值的辐射影响。</w:t>
      </w:r>
    </w:p>
    <w:p w14:paraId="3C1A3FA9">
      <w:pPr>
        <w:pStyle w:val="8"/>
        <w:rPr>
          <w:lang w:eastAsia="zh-CN"/>
        </w:rPr>
      </w:pPr>
      <w:r>
        <w:rPr>
          <w:lang w:eastAsia="zh-CN"/>
        </w:rPr>
        <w:t>根据《放射性同位素与射线装置安全和防护条例》，辐射事故的性质、严重程度、可控性和影响范围等因素，从重到轻将辐射事故分为特别重大辐射事故、重大辐射事故、较大辐射事故和一般辐射事故四个等级。其中，一般辐射事故，是指Ⅳ类、Ⅴ类放射源丢失、被盗、失控，或者放射性同位素和射线装置失控导致人员受到超过年剂量限值的照射。由此可以判断质子治疗系统发生人员误照事故属于一般辐射事故，可以通过下文描述的事故防范措施预防事故的发生。</w:t>
      </w:r>
    </w:p>
    <w:p w14:paraId="360850BA">
      <w:pPr>
        <w:pStyle w:val="8"/>
        <w:rPr>
          <w:kern w:val="0"/>
          <w:lang w:eastAsia="zh-CN"/>
        </w:rPr>
      </w:pPr>
      <w:r>
        <w:rPr>
          <w:lang w:eastAsia="zh-CN"/>
        </w:rPr>
        <w:t>（1）质子治疗系统</w:t>
      </w:r>
      <w:r>
        <w:t>设计有功能齐全，具有安全冗余的高安全等级的安全联锁系统，采用分区控制、清场搜索、声光报警器</w:t>
      </w:r>
      <w:r>
        <w:rPr>
          <w:lang w:eastAsia="zh-CN"/>
        </w:rPr>
        <w:t>、视频监控、</w:t>
      </w:r>
      <w:r>
        <w:t>紧急停机、</w:t>
      </w:r>
      <w:r>
        <w:rPr>
          <w:lang w:eastAsia="zh-CN"/>
        </w:rPr>
        <w:t>紧急开门</w:t>
      </w:r>
      <w:r>
        <w:t>等安全设备和措施，确保当治疗机房内有束流时，各区域的门无法打开，人员无法进入；当治疗机房某一区域有人时，机房内无法出束</w:t>
      </w:r>
      <w:r>
        <w:rPr>
          <w:lang w:eastAsia="zh-CN"/>
        </w:rPr>
        <w:t>，</w:t>
      </w:r>
      <w:r>
        <w:t>能够有效防止误入事故的发生</w:t>
      </w:r>
      <w:r>
        <w:rPr>
          <w:lang w:eastAsia="zh-CN"/>
        </w:rPr>
        <w:t>。为防止各项安全联锁硬件设施失效，定期检查并确认安全联锁设施的有效性。</w:t>
      </w:r>
    </w:p>
    <w:p w14:paraId="780DBF84">
      <w:pPr>
        <w:pStyle w:val="8"/>
        <w:rPr>
          <w:lang w:eastAsia="zh-CN"/>
        </w:rPr>
      </w:pPr>
      <w:r>
        <w:rPr>
          <w:lang w:eastAsia="zh-CN"/>
        </w:rPr>
        <w:t>（2）开机出束前，撤离治疗机房时应清点人数，必须按照既定的清场搜索路线和程序对机房各区域进行清场。出束期间一旦发现有人员滞留在机房内，就近按下急停按钮。工作人员进入治疗机房内部工作时应随身佩戴有效的剂量报警仪，以便随时了解机房内的辐射水平并在辐射水平超出阈值时发出报警信号。</w:t>
      </w:r>
    </w:p>
    <w:p w14:paraId="427923E3">
      <w:pPr>
        <w:pStyle w:val="8"/>
        <w:rPr>
          <w:lang w:eastAsia="zh-CN"/>
        </w:rPr>
      </w:pPr>
      <w:r>
        <w:rPr>
          <w:lang w:eastAsia="zh-CN"/>
        </w:rPr>
        <w:t>（3）放射工作人员需加强专业知识学习，加强辐射安全与防护培训，严格遵守操作规程和规章制度。管理人员应强化管理，落实安全责任制，经常督促检查。</w:t>
      </w:r>
    </w:p>
    <w:p w14:paraId="3C629BE6">
      <w:pPr>
        <w:pStyle w:val="8"/>
      </w:pPr>
      <w:r>
        <w:t>（4）做好设备稳定性检测和状态检测，使设备始终保持在最佳状态下工作。</w:t>
      </w:r>
    </w:p>
    <w:p w14:paraId="6244A7F7">
      <w:pPr>
        <w:pStyle w:val="8"/>
      </w:pPr>
      <w:r>
        <w:t>冷取水管路上安装有泄漏测量传感器，一旦检测发现冷却水泄漏，则立刻停机并关闭相应阀门，防止形成大规模漏水。</w:t>
      </w:r>
    </w:p>
    <w:p w14:paraId="567075FB">
      <w:pPr>
        <w:pStyle w:val="8"/>
        <w:rPr>
          <w:lang w:eastAsia="zh-CN"/>
        </w:rPr>
      </w:pPr>
      <w:r>
        <w:t>因此，冷却水泄漏事故不会对环境造成污染。</w:t>
      </w:r>
    </w:p>
    <w:p w14:paraId="529600DB">
      <w:pPr>
        <w:pStyle w:val="8"/>
        <w:rPr>
          <w:lang w:eastAsia="zh-CN"/>
        </w:rPr>
      </w:pPr>
      <w:r>
        <w:rPr>
          <w:lang w:eastAsia="zh-CN"/>
        </w:rPr>
        <w:t>事故防范措施包括：</w:t>
      </w:r>
      <w:r>
        <w:t>定期检查冷却水系统运行情况，确认泄漏测量系统的有效性。制定检修操作程序，加强安全文化教育，严格遵守操作程序，防止误操作造成的冷却水泄漏事故。</w:t>
      </w:r>
    </w:p>
    <w:p w14:paraId="7B9D307E">
      <w:pPr>
        <w:pStyle w:val="3"/>
        <w:rPr>
          <w:rFonts w:ascii="Times New Roman" w:hAnsi="Times New Roman" w:eastAsia="宋体"/>
          <w:lang w:eastAsia="zh-CN"/>
        </w:rPr>
      </w:pPr>
      <w:bookmarkStart w:id="733" w:name="_Toc209125233"/>
      <w:r>
        <w:rPr>
          <w:rFonts w:ascii="Times New Roman" w:hAnsi="Times New Roman" w:eastAsia="宋体"/>
          <w:lang w:eastAsia="zh-CN"/>
        </w:rPr>
        <w:t>建设项目对环境影响的经济损益分析结果</w:t>
      </w:r>
      <w:bookmarkEnd w:id="733"/>
    </w:p>
    <w:p w14:paraId="50F8CF03">
      <w:pPr>
        <w:pStyle w:val="8"/>
        <w:rPr>
          <w:lang w:val="en-US" w:eastAsia="zh-CN"/>
        </w:rPr>
      </w:pPr>
      <w:r>
        <w:rPr>
          <w:lang w:val="en-US" w:eastAsia="zh-CN"/>
        </w:rPr>
        <w:t>随着世界各国治癌技术研究和开发的快速发展，质子治疗肿瘤技术由于具有质子布拉格峰效应带来的深度截止效应，以及更加精准的宽度方向控制，已成为新一代更加有效的放疗技术。临床结果显示，相对于其他放射治疗方法，尤其对于有重要组织器官包绕的肿瘤，质子治疗显示出较大的优势：精确度高、治愈率高、副作用小。质子治疗系统已成为当前国际上肿瘤放射治疗的主流装备。</w:t>
      </w:r>
    </w:p>
    <w:p w14:paraId="1DD0CF65">
      <w:pPr>
        <w:pStyle w:val="8"/>
        <w:rPr>
          <w:lang w:val="en-US"/>
        </w:rPr>
      </w:pPr>
      <w:r>
        <w:rPr>
          <w:lang w:val="en-US"/>
        </w:rPr>
        <w:t>本项目在创造很大的经济、社会效益的同时，也要付出一定的代价：工作人员和周围公众受到在国家标准范围内的少量辐射照射。根据前面章节的分析，项目运行期间对环境的影响均低于国家标准中规定的限值，其影响都是可以接受的。</w:t>
      </w:r>
    </w:p>
    <w:p w14:paraId="2E4E8066">
      <w:pPr>
        <w:pStyle w:val="8"/>
        <w:rPr>
          <w:lang w:val="en-US" w:eastAsia="zh-CN"/>
        </w:rPr>
      </w:pPr>
      <w:r>
        <w:rPr>
          <w:lang w:val="en-US"/>
        </w:rPr>
        <w:t>因此，本项目的社会效益和环境效益能够得到很好的统一。</w:t>
      </w:r>
    </w:p>
    <w:p w14:paraId="34C5B553">
      <w:pPr>
        <w:pStyle w:val="3"/>
        <w:rPr>
          <w:rFonts w:ascii="Times New Roman" w:hAnsi="Times New Roman" w:eastAsia="宋体"/>
          <w:lang w:eastAsia="zh-CN"/>
        </w:rPr>
      </w:pPr>
      <w:bookmarkStart w:id="734" w:name="_Toc209125234"/>
      <w:r>
        <w:rPr>
          <w:rFonts w:ascii="Times New Roman" w:hAnsi="Times New Roman" w:eastAsia="宋体"/>
          <w:lang w:eastAsia="zh-CN"/>
        </w:rPr>
        <w:t>建设项目拟采取的辐射监测计划和安全管理措施</w:t>
      </w:r>
      <w:bookmarkEnd w:id="734"/>
    </w:p>
    <w:p w14:paraId="427AC69D">
      <w:pPr>
        <w:pStyle w:val="4"/>
        <w:rPr>
          <w:rFonts w:eastAsia="宋体"/>
          <w:lang w:eastAsia="zh-CN"/>
        </w:rPr>
      </w:pPr>
      <w:bookmarkStart w:id="735" w:name="_Toc160543452"/>
      <w:bookmarkStart w:id="736" w:name="_Toc209125235"/>
      <w:r>
        <w:rPr>
          <w:rFonts w:eastAsia="宋体"/>
          <w:lang w:eastAsia="zh-CN"/>
        </w:rPr>
        <w:t>辐射监测计划</w:t>
      </w:r>
      <w:bookmarkEnd w:id="735"/>
      <w:bookmarkEnd w:id="736"/>
    </w:p>
    <w:p w14:paraId="7B224E0C">
      <w:pPr>
        <w:pStyle w:val="8"/>
        <w:rPr>
          <w:lang w:eastAsia="zh-CN"/>
        </w:rPr>
      </w:pPr>
      <w:r>
        <w:t>本项目辐射监测总体包括环境监测、工作场所监测和个人剂量监测。环境监测采用固定式在线区域辐射监测和巡测相结合的方式；工作场所监测采用固定式在线区域辐射监测和巡测相结合的方式；个人剂量监测采取累积式个人剂量监测计监测为主，个人剂量报警仪为辅的方式进行。</w:t>
      </w:r>
    </w:p>
    <w:p w14:paraId="22414936">
      <w:pPr>
        <w:pStyle w:val="8"/>
        <w:rPr>
          <w:lang w:eastAsia="zh-CN"/>
        </w:rPr>
      </w:pPr>
      <w:r>
        <w:rPr>
          <w:lang w:eastAsia="zh-CN"/>
        </w:rPr>
        <w:t>（1）环境监测</w:t>
      </w:r>
    </w:p>
    <w:p w14:paraId="54194E07">
      <w:pPr>
        <w:pStyle w:val="8"/>
      </w:pPr>
      <w:r>
        <w:t>本项目环境监测包括采用便携辐射监测仪表进行连巡测、固定在线辐射监测和环境介质取样分析三种方式。环境监测每年至少进行一次，监测数据记录存档。</w:t>
      </w:r>
    </w:p>
    <w:p w14:paraId="69D333B0">
      <w:pPr>
        <w:pStyle w:val="8"/>
        <w:rPr>
          <w:lang w:eastAsia="zh-CN"/>
        </w:rPr>
      </w:pPr>
      <w:r>
        <w:t>辐射环境监测计划包括在本项目建筑墙体外周围环境采用便携式仪表巡测和固定式仪表监测外照射剂量率，环境介质取样分析委托有资质的单位进行，主要对建筑墙体外周围环境介质样品（主要是土壤）进行取样分析，频次至少为一年一次。</w:t>
      </w:r>
    </w:p>
    <w:p w14:paraId="1A111DB2">
      <w:pPr>
        <w:pStyle w:val="8"/>
        <w:rPr>
          <w:lang w:eastAsia="zh-CN"/>
        </w:rPr>
      </w:pPr>
      <w:r>
        <w:rPr>
          <w:lang w:eastAsia="zh-CN"/>
        </w:rPr>
        <w:t>（2）工作场所监测</w:t>
      </w:r>
    </w:p>
    <w:p w14:paraId="5F795480">
      <w:pPr>
        <w:pStyle w:val="8"/>
      </w:pPr>
      <w:r>
        <w:t>本项目工作场所监测采用安装固定式监测仪表和便携式监测仪表相结合的方式。每年至少进行一次，监测数据记录存档。</w:t>
      </w:r>
    </w:p>
    <w:p w14:paraId="4CABA1FE">
      <w:pPr>
        <w:pStyle w:val="8"/>
        <w:rPr>
          <w:lang w:eastAsia="zh-CN"/>
        </w:rPr>
      </w:pPr>
      <w:r>
        <w:t>辐射工作场所监测计划：在辐射工作场所控制区内，采用固定式仪表和便携式仪表监测外照射剂量率（包括γ辐射剂量率和中子剂量当量率）。</w:t>
      </w:r>
    </w:p>
    <w:p w14:paraId="7497C19D">
      <w:pPr>
        <w:pStyle w:val="8"/>
        <w:rPr>
          <w:lang w:eastAsia="zh-CN"/>
        </w:rPr>
      </w:pPr>
      <w:r>
        <w:rPr>
          <w:lang w:eastAsia="zh-CN"/>
        </w:rPr>
        <w:t>（3）个人剂量监测</w:t>
      </w:r>
    </w:p>
    <w:p w14:paraId="14888296">
      <w:pPr>
        <w:pStyle w:val="8"/>
      </w:pPr>
      <w:r>
        <w:t>本项目辐射工作人员个人剂量监测采取累积式个人剂量计监测为主，个人剂量报警仪为辅的方式进行。</w:t>
      </w:r>
    </w:p>
    <w:p w14:paraId="54067C0C">
      <w:pPr>
        <w:pStyle w:val="8"/>
      </w:pPr>
      <w:r>
        <w:t>个人剂量计用于对</w:t>
      </w:r>
      <w:r>
        <w:rPr>
          <w:lang w:eastAsia="zh-CN"/>
        </w:rPr>
        <w:t>辐射</w:t>
      </w:r>
      <w:r>
        <w:t>工作人员的常规个人剂量监测，为每名</w:t>
      </w:r>
      <w:r>
        <w:rPr>
          <w:lang w:eastAsia="zh-CN"/>
        </w:rPr>
        <w:t>辐射</w:t>
      </w:r>
      <w:r>
        <w:t>工作人员配备了个人剂量计，进入辐射工作场所必须佩戴个人剂量计，委托有资质的单位监测，监测周期不超过90天。发现个人剂量监测结果异常的，应立即核实和调查，并将有关情况及时报告辐射安全许可证发证机关。</w:t>
      </w:r>
    </w:p>
    <w:p w14:paraId="17D1C41C">
      <w:pPr>
        <w:pStyle w:val="8"/>
      </w:pPr>
      <w:r>
        <w:t>个人剂量报警仪用于工作人员在控制区内部工作时使用，报警仪能够实时显示工作人员该次工作的受照剂量和场所的剂量率水平，能够进行实施剂量预警。</w:t>
      </w:r>
    </w:p>
    <w:p w14:paraId="655D214A">
      <w:pPr>
        <w:pStyle w:val="8"/>
      </w:pPr>
      <w:r>
        <w:t>此外，建设单位对放射工作人员进行健康体检，两次体检的时间间隔不超过2年。</w:t>
      </w:r>
    </w:p>
    <w:p w14:paraId="40D2F9C9">
      <w:pPr>
        <w:pStyle w:val="4"/>
        <w:rPr>
          <w:rFonts w:eastAsia="宋体"/>
          <w:lang w:eastAsia="zh-CN"/>
        </w:rPr>
      </w:pPr>
      <w:bookmarkStart w:id="737" w:name="_Toc160543453"/>
      <w:bookmarkStart w:id="738" w:name="_Toc209125236"/>
      <w:r>
        <w:rPr>
          <w:rFonts w:eastAsia="宋体"/>
          <w:lang w:eastAsia="zh-CN"/>
        </w:rPr>
        <w:t>辐射安全管理</w:t>
      </w:r>
      <w:bookmarkEnd w:id="737"/>
      <w:bookmarkEnd w:id="738"/>
    </w:p>
    <w:p w14:paraId="6D07457F">
      <w:pPr>
        <w:pStyle w:val="8"/>
        <w:rPr>
          <w:lang w:eastAsia="zh-CN"/>
        </w:rPr>
      </w:pPr>
      <w:r>
        <w:rPr>
          <w:lang w:eastAsia="zh-CN"/>
        </w:rPr>
        <w:t>医院已成立了辐射与放射安全质量管理委员会，已基于人员岗位职责、辐射防护、设备检修、废物管理、人员培训、辐射监测等方面内容建立了一系列的辐射安全管理制度并将根据本项目的建设内容进行补充完善；制定了辐射工作人员培训制度，确保辐射工作人员在参加辐射安全与防护考核，并考核合格后方可上岗；目前制定的辐射环境监测方案、辐射工作场所监测方案能够满足本项目运行的要求</w:t>
      </w:r>
      <w:r>
        <w:t>。</w:t>
      </w:r>
    </w:p>
    <w:p w14:paraId="3C7CA8E8">
      <w:pPr>
        <w:pStyle w:val="8"/>
        <w:rPr>
          <w:lang w:eastAsia="zh-CN"/>
        </w:rPr>
        <w:sectPr>
          <w:footerReference r:id="rId22" w:type="default"/>
          <w:pgSz w:w="11906" w:h="16838"/>
          <w:pgMar w:top="1440" w:right="1800" w:bottom="1440" w:left="1800" w:header="851" w:footer="992" w:gutter="0"/>
          <w:cols w:space="720" w:num="1"/>
          <w:docGrid w:type="lines" w:linePitch="312" w:charSpace="0"/>
        </w:sectPr>
      </w:pPr>
    </w:p>
    <w:p w14:paraId="05FBAC9E">
      <w:pPr>
        <w:pStyle w:val="2"/>
        <w:rPr>
          <w:rFonts w:eastAsia="宋体"/>
          <w:lang w:eastAsia="zh-CN"/>
        </w:rPr>
      </w:pPr>
      <w:bookmarkStart w:id="739" w:name="_Toc487528620"/>
      <w:bookmarkStart w:id="740" w:name="_Toc487619907"/>
      <w:bookmarkStart w:id="741" w:name="_Toc71554658"/>
      <w:bookmarkStart w:id="742" w:name="_Toc34738615"/>
      <w:bookmarkStart w:id="743" w:name="_Toc209125237"/>
      <w:bookmarkStart w:id="744" w:name="_Toc361128457"/>
      <w:bookmarkStart w:id="745" w:name="_Toc360693533"/>
      <w:bookmarkStart w:id="746" w:name="_Toc372036476"/>
      <w:bookmarkStart w:id="747" w:name="_Toc426980417"/>
      <w:bookmarkStart w:id="748" w:name="_Toc363461190"/>
      <w:r>
        <w:rPr>
          <w:rFonts w:eastAsia="宋体"/>
        </w:rPr>
        <w:t>环境影响</w:t>
      </w:r>
      <w:bookmarkEnd w:id="739"/>
      <w:bookmarkEnd w:id="740"/>
      <w:bookmarkEnd w:id="741"/>
      <w:bookmarkEnd w:id="742"/>
      <w:r>
        <w:rPr>
          <w:rFonts w:eastAsia="宋体"/>
          <w:lang w:eastAsia="zh-CN"/>
        </w:rPr>
        <w:t>评价结论</w:t>
      </w:r>
      <w:bookmarkEnd w:id="743"/>
    </w:p>
    <w:p w14:paraId="007E563E">
      <w:pPr>
        <w:pStyle w:val="8"/>
        <w:spacing w:before="159" w:after="159"/>
      </w:pPr>
      <w:r>
        <w:t>建设单位拟开展的广州科学城质子治疗中心新建项目在严格按照环评中的要求进行建设后，项目运行期间对工作人员和环境的影响符合环境保护的要求，该项目对环境的影响是可以接受的。建设单位在落实本报告书中的各项污染防治措施和管理措施后，将具备其所从事的辐射活动的技术能力和辐射安全防护能力，故从辐射防护和环境保护的角度考虑，本项目的建设是可行的。</w:t>
      </w:r>
    </w:p>
    <w:bookmarkEnd w:id="744"/>
    <w:bookmarkEnd w:id="745"/>
    <w:bookmarkEnd w:id="746"/>
    <w:bookmarkEnd w:id="747"/>
    <w:bookmarkEnd w:id="748"/>
    <w:p w14:paraId="4BD8B324">
      <w:pPr>
        <w:pStyle w:val="2"/>
        <w:rPr>
          <w:rFonts w:eastAsia="宋体"/>
          <w:lang w:eastAsia="zh-CN"/>
        </w:rPr>
      </w:pPr>
      <w:bookmarkStart w:id="749" w:name="_Toc15765399"/>
      <w:bookmarkEnd w:id="749"/>
      <w:bookmarkStart w:id="750" w:name="_Toc16264575"/>
      <w:bookmarkEnd w:id="750"/>
      <w:bookmarkStart w:id="751" w:name="_Toc71554669"/>
      <w:bookmarkEnd w:id="751"/>
      <w:bookmarkStart w:id="752" w:name="_Toc16264826"/>
      <w:bookmarkEnd w:id="752"/>
      <w:bookmarkStart w:id="753" w:name="_Toc19546478"/>
      <w:bookmarkEnd w:id="753"/>
      <w:bookmarkStart w:id="754" w:name="_Toc71555225"/>
      <w:bookmarkEnd w:id="754"/>
      <w:bookmarkStart w:id="755" w:name="_Toc209125238"/>
      <w:bookmarkStart w:id="756" w:name="_Toc34738637"/>
      <w:bookmarkStart w:id="757" w:name="_Toc426980438"/>
      <w:r>
        <w:rPr>
          <w:rFonts w:eastAsia="宋体"/>
          <w:lang w:eastAsia="zh-CN"/>
        </w:rPr>
        <w:t>联系方式</w:t>
      </w:r>
      <w:bookmarkEnd w:id="755"/>
    </w:p>
    <w:p w14:paraId="4046889D">
      <w:pPr>
        <w:pStyle w:val="8"/>
        <w:spacing w:before="159" w:after="159"/>
      </w:pPr>
      <w:r>
        <w:t>（1）建设单位</w:t>
      </w:r>
    </w:p>
    <w:p w14:paraId="6CF3B7B7">
      <w:pPr>
        <w:pStyle w:val="8"/>
        <w:spacing w:before="159" w:after="159"/>
      </w:pPr>
      <w:r>
        <w:t>建设单位名称：中山大学附属第三医院岭南医院</w:t>
      </w:r>
    </w:p>
    <w:p w14:paraId="5CDBC8A9">
      <w:pPr>
        <w:pStyle w:val="8"/>
        <w:spacing w:before="159" w:after="159"/>
      </w:pPr>
      <w:r>
        <w:t>联系地址：广州市天河区天河路600号3号楼负一楼</w:t>
      </w:r>
    </w:p>
    <w:p w14:paraId="76ADEBDC">
      <w:pPr>
        <w:pStyle w:val="8"/>
        <w:spacing w:before="159" w:after="159"/>
      </w:pPr>
      <w:bookmarkStart w:id="758" w:name="_Hlk91074914"/>
      <w:r>
        <w:t xml:space="preserve">建设单位联系人：吴老师 </w:t>
      </w:r>
    </w:p>
    <w:p w14:paraId="093E496A">
      <w:pPr>
        <w:pStyle w:val="8"/>
        <w:spacing w:before="159" w:after="159"/>
      </w:pPr>
      <w:r>
        <w:t>建设单位联系电话：</w:t>
      </w:r>
      <w:bookmarkEnd w:id="758"/>
      <w:r>
        <w:t>13229972769</w:t>
      </w:r>
    </w:p>
    <w:p w14:paraId="35932FF7">
      <w:pPr>
        <w:pStyle w:val="8"/>
        <w:spacing w:before="159" w:after="159"/>
      </w:pPr>
      <w:r>
        <w:t>E-mail：wuchx25@mail.sysu.edu.cn</w:t>
      </w:r>
    </w:p>
    <w:p w14:paraId="6AA3E301">
      <w:pPr>
        <w:pStyle w:val="8"/>
        <w:spacing w:before="159" w:after="159"/>
      </w:pPr>
      <w:r>
        <w:t>（2）环评单位</w:t>
      </w:r>
    </w:p>
    <w:p w14:paraId="2C489A1F">
      <w:pPr>
        <w:pStyle w:val="8"/>
        <w:spacing w:before="159" w:after="159"/>
      </w:pPr>
      <w:r>
        <w:t>环评机构名称：中国原子能科学研究院</w:t>
      </w:r>
    </w:p>
    <w:p w14:paraId="784D5B4B">
      <w:pPr>
        <w:pStyle w:val="8"/>
        <w:spacing w:before="159" w:after="159"/>
      </w:pPr>
      <w:r>
        <w:t>环评机构地址：北京市房山区新镇北坊</w:t>
      </w:r>
    </w:p>
    <w:p w14:paraId="4AB449C0">
      <w:pPr>
        <w:pStyle w:val="8"/>
        <w:spacing w:before="159" w:after="159"/>
      </w:pPr>
      <w:r>
        <w:t>环评机构联系人：</w:t>
      </w:r>
      <w:r>
        <w:rPr>
          <w:lang w:eastAsia="zh-CN"/>
        </w:rPr>
        <w:t>胡</w:t>
      </w:r>
      <w:r>
        <w:t>工</w:t>
      </w:r>
    </w:p>
    <w:p w14:paraId="017E2E2F">
      <w:pPr>
        <w:pStyle w:val="8"/>
        <w:spacing w:before="159" w:after="159"/>
        <w:rPr>
          <w:lang w:eastAsia="zh-CN"/>
        </w:rPr>
      </w:pPr>
      <w:r>
        <w:t>环评机构联系方式：010-69359</w:t>
      </w:r>
      <w:r>
        <w:rPr>
          <w:lang w:eastAsia="zh-CN"/>
        </w:rPr>
        <w:t>058</w:t>
      </w:r>
    </w:p>
    <w:p w14:paraId="60BE75F9">
      <w:pPr>
        <w:pStyle w:val="8"/>
        <w:spacing w:before="159" w:after="159"/>
      </w:pPr>
      <w:r>
        <w:t>E-mail：2943488380@qq.com</w:t>
      </w:r>
    </w:p>
    <w:bookmarkEnd w:id="756"/>
    <w:bookmarkEnd w:id="757"/>
    <w:p w14:paraId="77B5806B">
      <w:pPr>
        <w:rPr>
          <w:lang w:val="zh-CN"/>
        </w:rPr>
      </w:pPr>
    </w:p>
    <w:sectPr>
      <w:headerReference r:id="rId23" w:type="default"/>
      <w:footerReference r:id="rId25" w:type="default"/>
      <w:headerReference r:id="rId24" w:type="even"/>
      <w:footerReference r:id="rId26" w:type="even"/>
      <w:pgSz w:w="11906" w:h="16838"/>
      <w:pgMar w:top="1440" w:right="1800" w:bottom="1440" w:left="1800" w:header="851" w:footer="992" w:gutter="0"/>
      <w:cols w:space="425"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Arial Unicode MS">
    <w:altName w:val="Arial"/>
    <w:panose1 w:val="020B0604020202020204"/>
    <w:charset w:val="00"/>
    <w:family w:val="roman"/>
    <w:pitch w:val="default"/>
    <w:sig w:usb0="00000000" w:usb1="00000000" w:usb2="00000000" w:usb3="00000000" w:csb0="00000001" w:csb1="00000000"/>
  </w:font>
  <w:font w:name="Microsoft YaHei UI">
    <w:panose1 w:val="020B0503020204020204"/>
    <w:charset w:val="86"/>
    <w:family w:val="swiss"/>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oúì.">
    <w:altName w:val="黑体"/>
    <w:panose1 w:val="00000000000000000000"/>
    <w:charset w:val="86"/>
    <w:family w:val="auto"/>
    <w:pitch w:val="default"/>
    <w:sig w:usb0="00000000" w:usb1="00000000" w:usb2="00000010" w:usb3="00000000" w:csb0="00040000" w:csb1="00000000"/>
  </w:font>
  <w:font w:name="QPFAEB+Helvetica-Bold">
    <w:altName w:val="Times New Roman"/>
    <w:panose1 w:val="00000000000000000000"/>
    <w:charset w:val="00"/>
    <w:family w:val="roman"/>
    <w:pitch w:val="default"/>
    <w:sig w:usb0="00000000" w:usb1="00000000" w:usb2="00000000" w:usb3="00000000" w:csb0="00000000" w:csb1="00000000"/>
  </w:font>
  <w:font w:name="TT A 267o 00">
    <w:altName w:val="宋体"/>
    <w:panose1 w:val="00000000000000000000"/>
    <w:charset w:val="86"/>
    <w:family w:val="decorative"/>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F99353">
    <w:pPr>
      <w:pStyle w:val="28"/>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B76CEB">
    <w:pPr>
      <w:pStyle w:val="28"/>
      <w:jc w:val="center"/>
    </w:pPr>
    <w:r>
      <w:fldChar w:fldCharType="begin"/>
    </w:r>
    <w:r>
      <w:instrText xml:space="preserve"> PAGE   \* MERGEFORMAT </w:instrText>
    </w:r>
    <w:r>
      <w:fldChar w:fldCharType="separate"/>
    </w:r>
    <w:r>
      <w:rPr>
        <w:lang w:val="zh-CN" w:eastAsia="zh-CN"/>
      </w:rPr>
      <w:t>88</w:t>
    </w:r>
    <w:r>
      <w:fldChar w:fldCharType="end"/>
    </w:r>
  </w:p>
  <w:p w14:paraId="7FDA318F">
    <w:pPr>
      <w:pStyle w:val="28"/>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81D76C">
    <w:r>
      <w:t>*</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FA0AD6">
    <w:pPr>
      <w:pStyle w:val="28"/>
      <w:spacing w:before="120" w:after="120"/>
      <w:jc w:val="center"/>
    </w:pPr>
    <w:r>
      <w:fldChar w:fldCharType="begin"/>
    </w:r>
    <w:r>
      <w:instrText xml:space="preserve">PAGE   \* MERGEFORMAT</w:instrText>
    </w:r>
    <w:r>
      <w:fldChar w:fldCharType="separate"/>
    </w:r>
    <w:r>
      <w:rPr>
        <w:lang w:val="zh-CN" w:eastAsia="zh-CN"/>
      </w:rPr>
      <w:t>354</w:t>
    </w:r>
    <w:r>
      <w:fldChar w:fldCharType="end"/>
    </w:r>
  </w:p>
  <w:p w14:paraId="047E765B">
    <w:pPr>
      <w:pStyle w:val="28"/>
      <w:jc w:val="cen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A6B9C4">
    <w:pPr>
      <w:pStyle w:val="28"/>
      <w:framePr w:wrap="around" w:vAnchor="text" w:hAnchor="margin" w:xAlign="center" w:y="1"/>
      <w:rPr>
        <w:rStyle w:val="49"/>
        <w:sz w:val="21"/>
        <w:szCs w:val="21"/>
      </w:rPr>
    </w:pPr>
    <w:r>
      <w:rPr>
        <w:sz w:val="21"/>
        <w:szCs w:val="21"/>
      </w:rPr>
      <w:fldChar w:fldCharType="begin"/>
    </w:r>
    <w:r>
      <w:rPr>
        <w:rStyle w:val="49"/>
        <w:sz w:val="21"/>
        <w:szCs w:val="21"/>
      </w:rPr>
      <w:instrText xml:space="preserve">PAGE  </w:instrText>
    </w:r>
    <w:r>
      <w:rPr>
        <w:sz w:val="21"/>
        <w:szCs w:val="21"/>
      </w:rPr>
      <w:fldChar w:fldCharType="separate"/>
    </w:r>
    <w:r>
      <w:rPr>
        <w:rStyle w:val="49"/>
        <w:sz w:val="21"/>
        <w:szCs w:val="21"/>
      </w:rPr>
      <w:t>244</w:t>
    </w:r>
    <w:r>
      <w:rPr>
        <w:sz w:val="21"/>
        <w:szCs w:val="21"/>
      </w:rPr>
      <w:fldChar w:fldCharType="end"/>
    </w:r>
  </w:p>
  <w:p w14:paraId="74314C79">
    <w:pPr>
      <w:pStyle w:val="28"/>
      <w:tabs>
        <w:tab w:val="left" w:pos="2538"/>
        <w:tab w:val="clear" w:pos="4153"/>
        <w:tab w:val="clear" w:pos="8306"/>
      </w:tabs>
      <w:rPr>
        <w:lang w:eastAsia="zh-CN"/>
      </w:rPr>
    </w:pPr>
    <w:r>
      <w:tab/>
    </w:r>
  </w:p>
  <w:p w14:paraId="224FA79C"/>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B2C9B3">
    <w:pPr>
      <w:pStyle w:val="28"/>
      <w:framePr w:wrap="around" w:vAnchor="text" w:hAnchor="margin" w:xAlign="center" w:y="1"/>
      <w:rPr>
        <w:rStyle w:val="49"/>
        <w:sz w:val="21"/>
        <w:szCs w:val="21"/>
      </w:rPr>
    </w:pPr>
    <w:r>
      <w:rPr>
        <w:sz w:val="21"/>
        <w:szCs w:val="21"/>
      </w:rPr>
      <w:fldChar w:fldCharType="begin"/>
    </w:r>
    <w:r>
      <w:rPr>
        <w:rStyle w:val="49"/>
        <w:sz w:val="21"/>
        <w:szCs w:val="21"/>
      </w:rPr>
      <w:instrText xml:space="preserve">PAGE  </w:instrText>
    </w:r>
    <w:r>
      <w:rPr>
        <w:sz w:val="21"/>
        <w:szCs w:val="21"/>
      </w:rPr>
      <w:fldChar w:fldCharType="separate"/>
    </w:r>
    <w:r>
      <w:rPr>
        <w:rStyle w:val="49"/>
        <w:sz w:val="21"/>
        <w:szCs w:val="21"/>
        <w:lang w:val="en-US" w:eastAsia="zh-CN"/>
      </w:rPr>
      <w:t>2</w:t>
    </w:r>
    <w:r>
      <w:rPr>
        <w:sz w:val="21"/>
        <w:szCs w:val="21"/>
      </w:rPr>
      <w:fldChar w:fldCharType="end"/>
    </w:r>
  </w:p>
  <w:p w14:paraId="58F07F70">
    <w:pPr>
      <w:pStyle w:val="28"/>
    </w:pPr>
    <w: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-1905</wp:posOffset>
              </wp:positionV>
              <wp:extent cx="12959715" cy="0"/>
              <wp:effectExtent l="0" t="0" r="0" b="0"/>
              <wp:wrapNone/>
              <wp:docPr id="300" name="直接连接符 86"/>
              <wp:cNvGraphicFramePr/>
              <a:graphic xmlns:a="http://schemas.openxmlformats.org/drawingml/2006/main">
                <a:graphicData uri="http://schemas.microsoft.com/office/word/2010/wordprocessingShape">
                  <wps:wsp>
                    <wps:cNvCnPr/>
                    <wps:spPr bwMode="auto">
                      <a:xfrm>
                        <a:off x="0" y="0"/>
                        <a:ext cx="12959715" cy="0"/>
                      </a:xfrm>
                      <a:prstGeom prst="line">
                        <a:avLst/>
                      </a:prstGeom>
                      <a:noFill/>
                      <a:ln w="9525">
                        <a:solidFill>
                          <a:srgbClr val="000000"/>
                        </a:solidFill>
                        <a:round/>
                      </a:ln>
                    </wps:spPr>
                    <wps:bodyPr/>
                  </wps:wsp>
                </a:graphicData>
              </a:graphic>
            </wp:anchor>
          </w:drawing>
        </mc:Choice>
        <mc:Fallback>
          <w:pict>
            <v:line id="直接连接符 86" o:spid="_x0000_s1026" o:spt="20" style="position:absolute;left:0pt;margin-left:0pt;margin-top:-0.15pt;height:0pt;width:1020.45pt;z-index:251659264;mso-width-relative:page;mso-height-relative:page;" filled="f" stroked="t" coordsize="21600,21600" o:gfxdata="UEsDBAoAAAAAAIdO4kAAAAAAAAAAAAAAAAAEAAAAZHJzL1BLAwQUAAAACACHTuJAaeXIwtQAAAAF&#10;AQAADwAAAGRycy9kb3ducmV2LnhtbE2PzU7DMBCE70i8g7VIXKrWbopQG+L0AOTGhRbEdRsvSUS8&#10;TmP3B56ehQscd2Y0822xPvteHWmMXWAL85kBRVwH13Fj4WVbTZegYkJ22AcmC58UYV1eXhSYu3Di&#10;ZzpuUqOkhGOOFtqUhlzrWLfkMc7CQCzeexg9JjnHRrsRT1Lue50Zc6s9diwLLQ5031L9sTl4C7F6&#10;pX31Nakn5m3RBMr2D0+PaO311dzcgUp0Tn9h+MEXdCiFaRcO7KLqLcgjycJ0AUrMzNyYFajdr6DL&#10;Qv+nL78BUEsDBBQAAAAIAIdO4kCOUa+ozAEAAHwDAAAOAAAAZHJzL2Uyb0RvYy54bWytU0uOEzEQ&#10;3SNxB8t70klQhkkrnVlMNGz4jAQcwLHdaUu2y3I56eQSXACJHaxYsuc2MxyDsjsJMGxmQS9Krt8r&#10;v1fuxdXeWbbTEQ34hk9GY860l6CM3zT8w/ubZ5ecYRJeCQteN/ygkV8tnz5Z9KHWU+jAKh0ZgXis&#10;+9DwLqVQVxXKTjuBIwjaU7KF6EQiN24qFUVP6M5W0/H4ouohqhBBakSKroYkPyLGxwBC2xqpVyC3&#10;Tvs0oEZtRSJK2JmAfFlu27Zaprdtizox23BimoqlIXReZ1stF6LeRBE6I49XEI+5wgNOThhPQ89Q&#10;K5EE20bzD5QzMgJCm0YSXDUQKYoQi8n4gTbvOhF04UJSYziLjv8PVr7Z3UZmVMOfj0kTLxyt/P7T&#10;97uPX37++Ez2/ttXdnmRdeoD1lR+7W/j0cNAvev+NShqEtsERYJ9G12WgsixfVH6cFZa7xOTFJxM&#10;57P5i8mMM3lKVqI+dYaI6aUGx/Kh4db4rIKoxe4VJppNpaeSHPZwY6wtm7Se9Q2fz6az0oBgjcrJ&#10;XIZxs762ke1Efgvly7QI7K+yCFuvhrj1lM60M9FBgDWoQ+Ff4rSUAnB8QHnrf/ql+/dPs/w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aeXIwtQAAAAFAQAADwAAAAAAAAABACAAAAAiAAAAZHJzL2Rv&#10;d25yZXYueG1sUEsBAhQAFAAAAAgAh07iQI5Rr6jMAQAAfAMAAA4AAAAAAAAAAQAgAAAAIwEAAGRy&#10;cy9lMm9Eb2MueG1sUEsFBgAAAAAGAAYAWQEAAGEFAAAAAA==&#10;">
              <v:fill on="f" focussize="0,0"/>
              <v:stroke color="#000000" joinstyle="round"/>
              <v:imagedata o:title=""/>
              <o:lock v:ext="edit" aspectratio="f"/>
            </v:lin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921EF1">
    <w:pPr>
      <w:pStyle w:val="2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85D2AE">
    <w:pPr>
      <w:pStyle w:val="28"/>
      <w:spacing w:before="120" w:after="1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96A5E3">
    <w:pPr>
      <w:pStyle w:val="2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A4C699">
    <w:pPr>
      <w:pStyle w:val="28"/>
      <w:spacing w:before="120" w:after="1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E95C4A">
    <w:pPr>
      <w:pStyle w:val="28"/>
      <w:jc w:val="center"/>
    </w:pPr>
    <w:r>
      <w:fldChar w:fldCharType="begin"/>
    </w:r>
    <w:r>
      <w:instrText xml:space="preserve">PAGE   \* MERGEFORMAT</w:instrText>
    </w:r>
    <w:r>
      <w:fldChar w:fldCharType="separate"/>
    </w:r>
    <w:r>
      <w:rPr>
        <w:lang w:val="zh-CN" w:eastAsia="zh-CN"/>
      </w:rPr>
      <w:t>2</w:t>
    </w:r>
    <w:r>
      <w:fldChar w:fldCharType="end"/>
    </w:r>
  </w:p>
  <w:p w14:paraId="018658FB">
    <w:pPr>
      <w:pStyle w:val="2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3FC886">
    <w:pPr>
      <w:pStyle w:val="28"/>
      <w:jc w:val="center"/>
    </w:pPr>
    <w:r>
      <w:fldChar w:fldCharType="begin"/>
    </w:r>
    <w:r>
      <w:instrText xml:space="preserve"> PAGE   \* MERGEFORMAT </w:instrText>
    </w:r>
    <w:r>
      <w:fldChar w:fldCharType="separate"/>
    </w:r>
    <w:r>
      <w:rPr>
        <w:lang w:val="zh-CN" w:eastAsia="zh-CN"/>
      </w:rPr>
      <w:t>32</w:t>
    </w:r>
    <w:r>
      <w:fldChar w:fldCharType="end"/>
    </w:r>
  </w:p>
  <w:p w14:paraId="2FFC7FBE">
    <w:pPr>
      <w:pStyle w:val="2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FA262A">
    <w:pPr>
      <w:pStyle w:val="28"/>
      <w:framePr w:wrap="around" w:vAnchor="text" w:hAnchor="margin" w:xAlign="center" w:y="1"/>
      <w:rPr>
        <w:rStyle w:val="49"/>
      </w:rPr>
    </w:pPr>
    <w:r>
      <w:fldChar w:fldCharType="begin"/>
    </w:r>
    <w:r>
      <w:rPr>
        <w:rStyle w:val="49"/>
      </w:rPr>
      <w:instrText xml:space="preserve">PAGE  </w:instrText>
    </w:r>
    <w:r>
      <w:fldChar w:fldCharType="separate"/>
    </w:r>
    <w:r>
      <w:fldChar w:fldCharType="end"/>
    </w:r>
  </w:p>
  <w:p w14:paraId="1C96E3A5">
    <w:pPr>
      <w:pStyle w:val="28"/>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AF41C">
    <w:pPr>
      <w:pStyle w:val="2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F20924">
    <w:pPr>
      <w:pStyle w:val="29"/>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09619D">
    <w:pPr>
      <w:pStyle w:val="2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507AA">
    <w:pPr>
      <w:pStyle w:val="29"/>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5CEBD6">
    <w:pPr>
      <w:pStyle w:val="29"/>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1A64BF">
    <w:pPr>
      <w:pStyle w:val="29"/>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D6851A">
    <w:pPr>
      <w:pStyle w:val="29"/>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E42D89">
    <w:pPr>
      <w:pStyle w:val="29"/>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E13BB"/>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417C27">
    <w: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B067D">
    <w:pPr>
      <w:pStyle w:val="2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7"/>
    <w:multiLevelType w:val="singleLevel"/>
    <w:tmpl w:val="00000007"/>
    <w:lvl w:ilvl="0" w:tentative="0">
      <w:start w:val="1"/>
      <w:numFmt w:val="decimal"/>
      <w:pStyle w:val="13"/>
      <w:lvlText w:val="%1."/>
      <w:lvlJc w:val="left"/>
      <w:pPr>
        <w:tabs>
          <w:tab w:val="left" w:pos="360"/>
        </w:tabs>
        <w:ind w:left="360" w:hanging="360"/>
      </w:pPr>
    </w:lvl>
  </w:abstractNum>
  <w:abstractNum w:abstractNumId="1">
    <w:nsid w:val="00000009"/>
    <w:multiLevelType w:val="multilevel"/>
    <w:tmpl w:val="00000009"/>
    <w:lvl w:ilvl="0" w:tentative="0">
      <w:start w:val="1"/>
      <w:numFmt w:val="decimal"/>
      <w:pStyle w:val="151"/>
      <w:lvlText w:val="1.%1"/>
      <w:lvlJc w:val="left"/>
      <w:pPr>
        <w:ind w:left="850" w:hanging="425"/>
      </w:pPr>
      <w:rPr>
        <w:rFonts w:hint="eastAsia"/>
      </w:rPr>
    </w:lvl>
    <w:lvl w:ilvl="1" w:tentative="0">
      <w:start w:val="1"/>
      <w:numFmt w:val="decimal"/>
      <w:lvlText w:val="%1.%2"/>
      <w:lvlJc w:val="left"/>
      <w:pPr>
        <w:ind w:left="1417" w:hanging="567"/>
      </w:pPr>
      <w:rPr>
        <w:rFonts w:hint="eastAsia"/>
      </w:rPr>
    </w:lvl>
    <w:lvl w:ilvl="2" w:tentative="0">
      <w:start w:val="1"/>
      <w:numFmt w:val="decimal"/>
      <w:lvlText w:val="%1.%2.%3"/>
      <w:lvlJc w:val="left"/>
      <w:pPr>
        <w:ind w:left="1843" w:hanging="567"/>
      </w:pPr>
      <w:rPr>
        <w:rFonts w:hint="eastAsia"/>
      </w:rPr>
    </w:lvl>
    <w:lvl w:ilvl="3" w:tentative="0">
      <w:start w:val="1"/>
      <w:numFmt w:val="decimal"/>
      <w:lvlText w:val="%1.%2.%3.%4"/>
      <w:lvlJc w:val="left"/>
      <w:pPr>
        <w:ind w:left="2409" w:hanging="708"/>
      </w:pPr>
      <w:rPr>
        <w:rFonts w:hint="eastAsia"/>
      </w:rPr>
    </w:lvl>
    <w:lvl w:ilvl="4" w:tentative="0">
      <w:start w:val="1"/>
      <w:numFmt w:val="decimal"/>
      <w:lvlText w:val="%1.%2.%3.%4.%5"/>
      <w:lvlJc w:val="left"/>
      <w:pPr>
        <w:ind w:left="2976" w:hanging="850"/>
      </w:pPr>
      <w:rPr>
        <w:rFonts w:hint="eastAsia"/>
      </w:rPr>
    </w:lvl>
    <w:lvl w:ilvl="5" w:tentative="0">
      <w:start w:val="1"/>
      <w:numFmt w:val="decimal"/>
      <w:lvlText w:val="%1.%2.%3.%4.%5.%6"/>
      <w:lvlJc w:val="left"/>
      <w:pPr>
        <w:ind w:left="3685" w:hanging="1134"/>
      </w:pPr>
      <w:rPr>
        <w:rFonts w:hint="eastAsia"/>
      </w:rPr>
    </w:lvl>
    <w:lvl w:ilvl="6" w:tentative="0">
      <w:start w:val="1"/>
      <w:numFmt w:val="decimal"/>
      <w:lvlText w:val="%1.%2.%3.%4.%5.%6.%7"/>
      <w:lvlJc w:val="left"/>
      <w:pPr>
        <w:ind w:left="4252" w:hanging="1276"/>
      </w:pPr>
      <w:rPr>
        <w:rFonts w:hint="eastAsia"/>
      </w:rPr>
    </w:lvl>
    <w:lvl w:ilvl="7" w:tentative="0">
      <w:start w:val="1"/>
      <w:numFmt w:val="decimal"/>
      <w:lvlText w:val="%1.%2.%3.%4.%5.%6.%7.%8"/>
      <w:lvlJc w:val="left"/>
      <w:pPr>
        <w:ind w:left="4819" w:hanging="1418"/>
      </w:pPr>
      <w:rPr>
        <w:rFonts w:hint="eastAsia"/>
      </w:rPr>
    </w:lvl>
    <w:lvl w:ilvl="8" w:tentative="0">
      <w:start w:val="1"/>
      <w:numFmt w:val="decimal"/>
      <w:lvlText w:val="%1.%2.%3.%4.%5.%6.%7.%8.%9"/>
      <w:lvlJc w:val="left"/>
      <w:pPr>
        <w:ind w:left="5527" w:hanging="1700"/>
      </w:pPr>
      <w:rPr>
        <w:rFonts w:hint="eastAsia"/>
      </w:rPr>
    </w:lvl>
  </w:abstractNum>
  <w:abstractNum w:abstractNumId="2">
    <w:nsid w:val="0000000B"/>
    <w:multiLevelType w:val="multilevel"/>
    <w:tmpl w:val="0000000B"/>
    <w:lvl w:ilvl="0" w:tentative="0">
      <w:start w:val="1"/>
      <w:numFmt w:val="bullet"/>
      <w:pStyle w:val="147"/>
      <w:lvlText w:val="—"/>
      <w:lvlJc w:val="left"/>
      <w:pPr>
        <w:tabs>
          <w:tab w:val="left" w:pos="737"/>
        </w:tabs>
        <w:ind w:left="0" w:firstLine="227"/>
      </w:pPr>
      <w:rPr>
        <w:rFonts w:hint="eastAsia" w:ascii="宋体" w:hAnsi="宋体" w:eastAsia="宋体"/>
        <w:lang w:val="en-U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
    <w:nsid w:val="0000000E"/>
    <w:multiLevelType w:val="multilevel"/>
    <w:tmpl w:val="0000000E"/>
    <w:lvl w:ilvl="0" w:tentative="0">
      <w:start w:val="1"/>
      <w:numFmt w:val="decimal"/>
      <w:pStyle w:val="2"/>
      <w:lvlText w:val="%1"/>
      <w:lvlJc w:val="left"/>
      <w:pPr>
        <w:tabs>
          <w:tab w:val="left" w:pos="432"/>
        </w:tabs>
        <w:ind w:left="432" w:hanging="432"/>
      </w:pPr>
      <w:rPr>
        <w:rFonts w:hint="default" w:ascii="Times New Roman" w:hAnsi="Times New Roman" w:cs="Times New Roman"/>
      </w:rPr>
    </w:lvl>
    <w:lvl w:ilvl="1" w:tentative="0">
      <w:start w:val="1"/>
      <w:numFmt w:val="decimal"/>
      <w:pStyle w:val="3"/>
      <w:lvlText w:val="%1.%2"/>
      <w:lvlJc w:val="left"/>
      <w:pPr>
        <w:tabs>
          <w:tab w:val="left" w:pos="9081"/>
        </w:tabs>
        <w:ind w:left="9081" w:hanging="576"/>
      </w:pPr>
      <w:rPr>
        <w:rFonts w:hint="default" w:ascii="Times New Roman" w:hAnsi="Times New Roman" w:cs="Times New Roman"/>
      </w:rPr>
    </w:lvl>
    <w:lvl w:ilvl="2" w:tentative="0">
      <w:start w:val="1"/>
      <w:numFmt w:val="decimal"/>
      <w:pStyle w:val="4"/>
      <w:lvlText w:val="%1.%2.%3"/>
      <w:lvlJc w:val="left"/>
      <w:pPr>
        <w:tabs>
          <w:tab w:val="left" w:pos="862"/>
        </w:tabs>
        <w:ind w:left="862" w:hanging="720"/>
      </w:pPr>
      <w:rPr>
        <w:rFonts w:hint="default" w:ascii="Times New Roman" w:hAnsi="Times New Roman" w:cs="Times New Roman"/>
      </w:rPr>
    </w:lvl>
    <w:lvl w:ilvl="3" w:tentative="0">
      <w:start w:val="1"/>
      <w:numFmt w:val="decimal"/>
      <w:pStyle w:val="5"/>
      <w:lvlText w:val="%1.%2.%3.%4"/>
      <w:lvlJc w:val="left"/>
      <w:pPr>
        <w:tabs>
          <w:tab w:val="left" w:pos="864"/>
        </w:tabs>
        <w:ind w:left="864" w:hanging="864"/>
      </w:pPr>
      <w:rPr>
        <w:lang w:val="en-US"/>
      </w:rPr>
    </w:lvl>
    <w:lvl w:ilvl="4" w:tentative="0">
      <w:start w:val="1"/>
      <w:numFmt w:val="decimal"/>
      <w:pStyle w:val="6"/>
      <w:lvlText w:val="%1.%2.%3.%4.%5"/>
      <w:lvlJc w:val="left"/>
      <w:pPr>
        <w:tabs>
          <w:tab w:val="left" w:pos="1008"/>
        </w:tabs>
        <w:ind w:left="1008" w:hanging="1008"/>
      </w:pPr>
    </w:lvl>
    <w:lvl w:ilvl="5" w:tentative="0">
      <w:start w:val="1"/>
      <w:numFmt w:val="decimal"/>
      <w:pStyle w:val="7"/>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4">
    <w:nsid w:val="02CB589F"/>
    <w:multiLevelType w:val="multilevel"/>
    <w:tmpl w:val="02CB589F"/>
    <w:lvl w:ilvl="0" w:tentative="0">
      <w:start w:val="1"/>
      <w:numFmt w:val="decimal"/>
      <w:lvlText w:val="（%1）"/>
      <w:lvlJc w:val="left"/>
      <w:pPr>
        <w:ind w:left="0" w:firstLine="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317F7FEF"/>
    <w:multiLevelType w:val="multilevel"/>
    <w:tmpl w:val="317F7FEF"/>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6">
    <w:nsid w:val="60B55DC2"/>
    <w:multiLevelType w:val="multilevel"/>
    <w:tmpl w:val="60B55DC2"/>
    <w:lvl w:ilvl="0" w:tentative="0">
      <w:start w:val="1"/>
      <w:numFmt w:val="upperLetter"/>
      <w:pStyle w:val="177"/>
      <w:lvlText w:val="%1"/>
      <w:lvlJc w:val="left"/>
      <w:pPr>
        <w:tabs>
          <w:tab w:val="left" w:pos="0"/>
        </w:tabs>
        <w:ind w:left="0" w:hanging="425"/>
      </w:pPr>
      <w:rPr>
        <w:rFonts w:hint="eastAsia"/>
      </w:rPr>
    </w:lvl>
    <w:lvl w:ilvl="1" w:tentative="0">
      <w:start w:val="1"/>
      <w:numFmt w:val="decimal"/>
      <w:pStyle w:val="178"/>
      <w:suff w:val="nothing"/>
      <w:lvlText w:val="表%1.%2　"/>
      <w:lvlJc w:val="left"/>
      <w:pPr>
        <w:ind w:left="2982" w:hanging="567"/>
      </w:pPr>
      <w:rPr>
        <w:rFonts w:hint="eastAsia"/>
        <w:lang w:val="en-US"/>
      </w:rPr>
    </w:lvl>
    <w:lvl w:ilvl="2" w:tentative="0">
      <w:start w:val="1"/>
      <w:numFmt w:val="decimal"/>
      <w:lvlText w:val="%1.%2.%3"/>
      <w:lvlJc w:val="left"/>
      <w:pPr>
        <w:tabs>
          <w:tab w:val="left" w:pos="993"/>
        </w:tabs>
        <w:ind w:left="993" w:hanging="567"/>
      </w:pPr>
      <w:rPr>
        <w:rFonts w:hint="eastAsia"/>
      </w:rPr>
    </w:lvl>
    <w:lvl w:ilvl="3" w:tentative="0">
      <w:start w:val="1"/>
      <w:numFmt w:val="decimal"/>
      <w:lvlText w:val="%1.%2.%3.%4"/>
      <w:lvlJc w:val="left"/>
      <w:pPr>
        <w:tabs>
          <w:tab w:val="left" w:pos="2291"/>
        </w:tabs>
        <w:ind w:left="1559" w:hanging="708"/>
      </w:pPr>
      <w:rPr>
        <w:rFonts w:hint="eastAsia"/>
      </w:rPr>
    </w:lvl>
    <w:lvl w:ilvl="4" w:tentative="0">
      <w:start w:val="1"/>
      <w:numFmt w:val="decimal"/>
      <w:lvlText w:val="%1.%2.%3.%4.%5"/>
      <w:lvlJc w:val="left"/>
      <w:pPr>
        <w:tabs>
          <w:tab w:val="left" w:pos="3076"/>
        </w:tabs>
        <w:ind w:left="2126" w:hanging="850"/>
      </w:pPr>
      <w:rPr>
        <w:rFonts w:hint="eastAsia"/>
      </w:rPr>
    </w:lvl>
    <w:lvl w:ilvl="5" w:tentative="0">
      <w:start w:val="1"/>
      <w:numFmt w:val="decimal"/>
      <w:lvlText w:val="%1.%2.%3.%4.%5.%6"/>
      <w:lvlJc w:val="left"/>
      <w:pPr>
        <w:tabs>
          <w:tab w:val="left" w:pos="3861"/>
        </w:tabs>
        <w:ind w:left="2835" w:hanging="1134"/>
      </w:pPr>
      <w:rPr>
        <w:rFonts w:hint="eastAsia"/>
      </w:rPr>
    </w:lvl>
    <w:lvl w:ilvl="6" w:tentative="0">
      <w:start w:val="1"/>
      <w:numFmt w:val="decimal"/>
      <w:lvlText w:val="%1.%2.%3.%4.%5.%6.%7"/>
      <w:lvlJc w:val="left"/>
      <w:pPr>
        <w:tabs>
          <w:tab w:val="left" w:pos="4646"/>
        </w:tabs>
        <w:ind w:left="3402" w:hanging="1276"/>
      </w:pPr>
      <w:rPr>
        <w:rFonts w:hint="eastAsia"/>
      </w:rPr>
    </w:lvl>
    <w:lvl w:ilvl="7" w:tentative="0">
      <w:start w:val="1"/>
      <w:numFmt w:val="decimal"/>
      <w:lvlText w:val="%1.%2.%3.%4.%5.%6.%7.%8"/>
      <w:lvlJc w:val="left"/>
      <w:pPr>
        <w:tabs>
          <w:tab w:val="left" w:pos="5431"/>
        </w:tabs>
        <w:ind w:left="3969" w:hanging="1418"/>
      </w:pPr>
      <w:rPr>
        <w:rFonts w:hint="eastAsia"/>
      </w:rPr>
    </w:lvl>
    <w:lvl w:ilvl="8" w:tentative="0">
      <w:start w:val="1"/>
      <w:numFmt w:val="decimal"/>
      <w:lvlText w:val="%1.%2.%3.%4.%5.%6.%7.%8.%9"/>
      <w:lvlJc w:val="left"/>
      <w:pPr>
        <w:tabs>
          <w:tab w:val="left" w:pos="6217"/>
        </w:tabs>
        <w:ind w:left="4677" w:hanging="1700"/>
      </w:pPr>
      <w:rPr>
        <w:rFonts w:hint="eastAsia"/>
      </w:rPr>
    </w:lvl>
  </w:abstractNum>
  <w:abstractNum w:abstractNumId="7">
    <w:nsid w:val="69DE4473"/>
    <w:multiLevelType w:val="multilevel"/>
    <w:tmpl w:val="69DE4473"/>
    <w:lvl w:ilvl="0" w:tentative="0">
      <w:start w:val="1"/>
      <w:numFmt w:val="decimal"/>
      <w:lvlText w:val="（%1）"/>
      <w:lvlJc w:val="left"/>
      <w:pPr>
        <w:ind w:left="0" w:firstLine="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3"/>
  </w:num>
  <w:num w:numId="2">
    <w:abstractNumId w:val="0"/>
  </w:num>
  <w:num w:numId="3">
    <w:abstractNumId w:val="2"/>
  </w:num>
  <w:num w:numId="4">
    <w:abstractNumId w:val="1"/>
  </w:num>
  <w:num w:numId="5">
    <w:abstractNumId w:val="6"/>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4"/>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072F"/>
    <w:rsid w:val="00000AFC"/>
    <w:rsid w:val="0000121D"/>
    <w:rsid w:val="000018EE"/>
    <w:rsid w:val="0000196B"/>
    <w:rsid w:val="000019F0"/>
    <w:rsid w:val="00001EAA"/>
    <w:rsid w:val="000039D4"/>
    <w:rsid w:val="00003B01"/>
    <w:rsid w:val="00003BD8"/>
    <w:rsid w:val="00003FA6"/>
    <w:rsid w:val="000049AA"/>
    <w:rsid w:val="000065F2"/>
    <w:rsid w:val="00006ED4"/>
    <w:rsid w:val="00011C57"/>
    <w:rsid w:val="00011E47"/>
    <w:rsid w:val="000121E2"/>
    <w:rsid w:val="00012946"/>
    <w:rsid w:val="00012C2B"/>
    <w:rsid w:val="00013786"/>
    <w:rsid w:val="00014B5C"/>
    <w:rsid w:val="00014E35"/>
    <w:rsid w:val="000153CC"/>
    <w:rsid w:val="000155CF"/>
    <w:rsid w:val="00016FC9"/>
    <w:rsid w:val="00016FEB"/>
    <w:rsid w:val="00017452"/>
    <w:rsid w:val="000204D5"/>
    <w:rsid w:val="00020B9F"/>
    <w:rsid w:val="00020C0A"/>
    <w:rsid w:val="00020DDA"/>
    <w:rsid w:val="000213B1"/>
    <w:rsid w:val="00022023"/>
    <w:rsid w:val="00023E48"/>
    <w:rsid w:val="0002406F"/>
    <w:rsid w:val="00024902"/>
    <w:rsid w:val="00025E04"/>
    <w:rsid w:val="00026A8A"/>
    <w:rsid w:val="00027457"/>
    <w:rsid w:val="00027B45"/>
    <w:rsid w:val="00027E41"/>
    <w:rsid w:val="000304F7"/>
    <w:rsid w:val="00031855"/>
    <w:rsid w:val="00031DDE"/>
    <w:rsid w:val="00032643"/>
    <w:rsid w:val="000326AE"/>
    <w:rsid w:val="000330E7"/>
    <w:rsid w:val="0003336B"/>
    <w:rsid w:val="000334E9"/>
    <w:rsid w:val="00033985"/>
    <w:rsid w:val="00034456"/>
    <w:rsid w:val="00034A1A"/>
    <w:rsid w:val="00034A98"/>
    <w:rsid w:val="000353A0"/>
    <w:rsid w:val="0003554F"/>
    <w:rsid w:val="000356EB"/>
    <w:rsid w:val="00035C01"/>
    <w:rsid w:val="00035DB6"/>
    <w:rsid w:val="00035DE2"/>
    <w:rsid w:val="00036827"/>
    <w:rsid w:val="00036A5D"/>
    <w:rsid w:val="0003701A"/>
    <w:rsid w:val="000371A6"/>
    <w:rsid w:val="000400D8"/>
    <w:rsid w:val="00040455"/>
    <w:rsid w:val="00040F97"/>
    <w:rsid w:val="00041577"/>
    <w:rsid w:val="000415AE"/>
    <w:rsid w:val="0004251D"/>
    <w:rsid w:val="00043163"/>
    <w:rsid w:val="00043419"/>
    <w:rsid w:val="000440E1"/>
    <w:rsid w:val="000445CF"/>
    <w:rsid w:val="00044A90"/>
    <w:rsid w:val="00045262"/>
    <w:rsid w:val="00045645"/>
    <w:rsid w:val="00045909"/>
    <w:rsid w:val="00046B5C"/>
    <w:rsid w:val="00046F3D"/>
    <w:rsid w:val="0004733E"/>
    <w:rsid w:val="00050162"/>
    <w:rsid w:val="00051AD8"/>
    <w:rsid w:val="0005258A"/>
    <w:rsid w:val="0005295E"/>
    <w:rsid w:val="00052E15"/>
    <w:rsid w:val="00052F21"/>
    <w:rsid w:val="00052FFF"/>
    <w:rsid w:val="00053258"/>
    <w:rsid w:val="00053C82"/>
    <w:rsid w:val="00054B8B"/>
    <w:rsid w:val="00054FB0"/>
    <w:rsid w:val="000550ED"/>
    <w:rsid w:val="00056382"/>
    <w:rsid w:val="00056430"/>
    <w:rsid w:val="000564B0"/>
    <w:rsid w:val="000606F3"/>
    <w:rsid w:val="000618D5"/>
    <w:rsid w:val="00061909"/>
    <w:rsid w:val="00062B59"/>
    <w:rsid w:val="000633F0"/>
    <w:rsid w:val="00063818"/>
    <w:rsid w:val="00063D63"/>
    <w:rsid w:val="00064E86"/>
    <w:rsid w:val="0006510A"/>
    <w:rsid w:val="00065E55"/>
    <w:rsid w:val="00066124"/>
    <w:rsid w:val="000662B2"/>
    <w:rsid w:val="00067EA7"/>
    <w:rsid w:val="0007022C"/>
    <w:rsid w:val="0007077F"/>
    <w:rsid w:val="00070C27"/>
    <w:rsid w:val="000710FB"/>
    <w:rsid w:val="00072A17"/>
    <w:rsid w:val="00073578"/>
    <w:rsid w:val="0007406B"/>
    <w:rsid w:val="000741FD"/>
    <w:rsid w:val="00074A21"/>
    <w:rsid w:val="00075559"/>
    <w:rsid w:val="00075BBA"/>
    <w:rsid w:val="00076DC9"/>
    <w:rsid w:val="00076EF3"/>
    <w:rsid w:val="00076F0B"/>
    <w:rsid w:val="00076F8D"/>
    <w:rsid w:val="00077520"/>
    <w:rsid w:val="00080081"/>
    <w:rsid w:val="0008043B"/>
    <w:rsid w:val="00080DDF"/>
    <w:rsid w:val="00081909"/>
    <w:rsid w:val="00081E3A"/>
    <w:rsid w:val="000823AE"/>
    <w:rsid w:val="000856CF"/>
    <w:rsid w:val="00085E6D"/>
    <w:rsid w:val="00086731"/>
    <w:rsid w:val="00087D90"/>
    <w:rsid w:val="00090BAC"/>
    <w:rsid w:val="000911EA"/>
    <w:rsid w:val="000914A6"/>
    <w:rsid w:val="00091C40"/>
    <w:rsid w:val="000920CD"/>
    <w:rsid w:val="00092338"/>
    <w:rsid w:val="000924D7"/>
    <w:rsid w:val="00092D23"/>
    <w:rsid w:val="0009316E"/>
    <w:rsid w:val="00094FB3"/>
    <w:rsid w:val="0009559A"/>
    <w:rsid w:val="00095644"/>
    <w:rsid w:val="00095EDB"/>
    <w:rsid w:val="000968DD"/>
    <w:rsid w:val="000A257E"/>
    <w:rsid w:val="000A4706"/>
    <w:rsid w:val="000A4A39"/>
    <w:rsid w:val="000A56A3"/>
    <w:rsid w:val="000A72E6"/>
    <w:rsid w:val="000A77EE"/>
    <w:rsid w:val="000B021A"/>
    <w:rsid w:val="000B16C0"/>
    <w:rsid w:val="000B292A"/>
    <w:rsid w:val="000B2EB9"/>
    <w:rsid w:val="000B4E50"/>
    <w:rsid w:val="000B50D6"/>
    <w:rsid w:val="000B5544"/>
    <w:rsid w:val="000B60D3"/>
    <w:rsid w:val="000B64D1"/>
    <w:rsid w:val="000B6F57"/>
    <w:rsid w:val="000B784F"/>
    <w:rsid w:val="000C054F"/>
    <w:rsid w:val="000C0593"/>
    <w:rsid w:val="000C071C"/>
    <w:rsid w:val="000C0C1D"/>
    <w:rsid w:val="000C158F"/>
    <w:rsid w:val="000C2938"/>
    <w:rsid w:val="000C3528"/>
    <w:rsid w:val="000C3579"/>
    <w:rsid w:val="000C3CAC"/>
    <w:rsid w:val="000C480A"/>
    <w:rsid w:val="000C4A33"/>
    <w:rsid w:val="000C53AD"/>
    <w:rsid w:val="000C543B"/>
    <w:rsid w:val="000C5EF8"/>
    <w:rsid w:val="000C6163"/>
    <w:rsid w:val="000C6C51"/>
    <w:rsid w:val="000C7C66"/>
    <w:rsid w:val="000D00AD"/>
    <w:rsid w:val="000D0483"/>
    <w:rsid w:val="000D06CE"/>
    <w:rsid w:val="000D12A8"/>
    <w:rsid w:val="000D187D"/>
    <w:rsid w:val="000D24F7"/>
    <w:rsid w:val="000D275C"/>
    <w:rsid w:val="000D2843"/>
    <w:rsid w:val="000D425D"/>
    <w:rsid w:val="000D4CA1"/>
    <w:rsid w:val="000D4CBC"/>
    <w:rsid w:val="000D5996"/>
    <w:rsid w:val="000D5A33"/>
    <w:rsid w:val="000D5C9C"/>
    <w:rsid w:val="000D6F74"/>
    <w:rsid w:val="000D71D7"/>
    <w:rsid w:val="000D7854"/>
    <w:rsid w:val="000D7D1B"/>
    <w:rsid w:val="000E0950"/>
    <w:rsid w:val="000E115C"/>
    <w:rsid w:val="000E141A"/>
    <w:rsid w:val="000E148F"/>
    <w:rsid w:val="000E201F"/>
    <w:rsid w:val="000E3927"/>
    <w:rsid w:val="000E4241"/>
    <w:rsid w:val="000E54BE"/>
    <w:rsid w:val="000E5807"/>
    <w:rsid w:val="000E5938"/>
    <w:rsid w:val="000E6953"/>
    <w:rsid w:val="000E6B81"/>
    <w:rsid w:val="000F0362"/>
    <w:rsid w:val="000F0650"/>
    <w:rsid w:val="000F06E1"/>
    <w:rsid w:val="000F0757"/>
    <w:rsid w:val="000F092E"/>
    <w:rsid w:val="000F10E5"/>
    <w:rsid w:val="000F1544"/>
    <w:rsid w:val="000F190E"/>
    <w:rsid w:val="000F2741"/>
    <w:rsid w:val="000F33E6"/>
    <w:rsid w:val="000F3782"/>
    <w:rsid w:val="000F4D9B"/>
    <w:rsid w:val="000F4E41"/>
    <w:rsid w:val="000F541C"/>
    <w:rsid w:val="000F5E88"/>
    <w:rsid w:val="000F688E"/>
    <w:rsid w:val="000F780E"/>
    <w:rsid w:val="00100AB4"/>
    <w:rsid w:val="00100EA8"/>
    <w:rsid w:val="0010104B"/>
    <w:rsid w:val="00101691"/>
    <w:rsid w:val="00101D1B"/>
    <w:rsid w:val="0010211F"/>
    <w:rsid w:val="00102761"/>
    <w:rsid w:val="00103255"/>
    <w:rsid w:val="001034AF"/>
    <w:rsid w:val="00103642"/>
    <w:rsid w:val="00105C5C"/>
    <w:rsid w:val="00105E99"/>
    <w:rsid w:val="00105FD9"/>
    <w:rsid w:val="001063DB"/>
    <w:rsid w:val="00106B7F"/>
    <w:rsid w:val="00106CDA"/>
    <w:rsid w:val="001071E3"/>
    <w:rsid w:val="00110B5F"/>
    <w:rsid w:val="00110D1F"/>
    <w:rsid w:val="001111C2"/>
    <w:rsid w:val="0011136C"/>
    <w:rsid w:val="00111564"/>
    <w:rsid w:val="001115AB"/>
    <w:rsid w:val="001118A2"/>
    <w:rsid w:val="00112A86"/>
    <w:rsid w:val="00112C2D"/>
    <w:rsid w:val="001145F2"/>
    <w:rsid w:val="00114E87"/>
    <w:rsid w:val="00114F6B"/>
    <w:rsid w:val="00115323"/>
    <w:rsid w:val="00115C67"/>
    <w:rsid w:val="00116A5F"/>
    <w:rsid w:val="00116B15"/>
    <w:rsid w:val="00117061"/>
    <w:rsid w:val="0011743D"/>
    <w:rsid w:val="00117949"/>
    <w:rsid w:val="00117CE8"/>
    <w:rsid w:val="00120054"/>
    <w:rsid w:val="00120941"/>
    <w:rsid w:val="00122032"/>
    <w:rsid w:val="001221D2"/>
    <w:rsid w:val="00122D7B"/>
    <w:rsid w:val="001237EC"/>
    <w:rsid w:val="00123EEA"/>
    <w:rsid w:val="00124582"/>
    <w:rsid w:val="001247A8"/>
    <w:rsid w:val="0012524D"/>
    <w:rsid w:val="0012529B"/>
    <w:rsid w:val="001254AB"/>
    <w:rsid w:val="0012577E"/>
    <w:rsid w:val="00125FE0"/>
    <w:rsid w:val="00130B5E"/>
    <w:rsid w:val="00131694"/>
    <w:rsid w:val="0013279A"/>
    <w:rsid w:val="00132938"/>
    <w:rsid w:val="00132BC2"/>
    <w:rsid w:val="00132BCA"/>
    <w:rsid w:val="00132E3A"/>
    <w:rsid w:val="001330DC"/>
    <w:rsid w:val="0013338E"/>
    <w:rsid w:val="00133EBF"/>
    <w:rsid w:val="00134372"/>
    <w:rsid w:val="0013470D"/>
    <w:rsid w:val="00135829"/>
    <w:rsid w:val="00136DBF"/>
    <w:rsid w:val="00136EE1"/>
    <w:rsid w:val="00136F09"/>
    <w:rsid w:val="0013743A"/>
    <w:rsid w:val="00137AD9"/>
    <w:rsid w:val="0014051E"/>
    <w:rsid w:val="0014072F"/>
    <w:rsid w:val="00140AE7"/>
    <w:rsid w:val="00140EF1"/>
    <w:rsid w:val="00141C33"/>
    <w:rsid w:val="00141EB1"/>
    <w:rsid w:val="0014203E"/>
    <w:rsid w:val="001428E1"/>
    <w:rsid w:val="00142E9F"/>
    <w:rsid w:val="0014309A"/>
    <w:rsid w:val="00143A21"/>
    <w:rsid w:val="00143B96"/>
    <w:rsid w:val="00143E11"/>
    <w:rsid w:val="0014435C"/>
    <w:rsid w:val="001445DF"/>
    <w:rsid w:val="00144604"/>
    <w:rsid w:val="00144B51"/>
    <w:rsid w:val="00144B63"/>
    <w:rsid w:val="00145A8C"/>
    <w:rsid w:val="0014617B"/>
    <w:rsid w:val="00146A52"/>
    <w:rsid w:val="00146D08"/>
    <w:rsid w:val="00147838"/>
    <w:rsid w:val="00150373"/>
    <w:rsid w:val="00150AFF"/>
    <w:rsid w:val="00151082"/>
    <w:rsid w:val="001516C9"/>
    <w:rsid w:val="001517BC"/>
    <w:rsid w:val="00151B63"/>
    <w:rsid w:val="00151CFB"/>
    <w:rsid w:val="00151F21"/>
    <w:rsid w:val="001522E8"/>
    <w:rsid w:val="00152CCE"/>
    <w:rsid w:val="00153CDE"/>
    <w:rsid w:val="00154912"/>
    <w:rsid w:val="00154BD1"/>
    <w:rsid w:val="00156CC9"/>
    <w:rsid w:val="00157BE8"/>
    <w:rsid w:val="00157ECE"/>
    <w:rsid w:val="00160D92"/>
    <w:rsid w:val="00161534"/>
    <w:rsid w:val="001625D3"/>
    <w:rsid w:val="00162731"/>
    <w:rsid w:val="00163253"/>
    <w:rsid w:val="00163B71"/>
    <w:rsid w:val="00163D37"/>
    <w:rsid w:val="00164630"/>
    <w:rsid w:val="0016490A"/>
    <w:rsid w:val="00164F36"/>
    <w:rsid w:val="00165400"/>
    <w:rsid w:val="001655DF"/>
    <w:rsid w:val="001659F5"/>
    <w:rsid w:val="00166BA8"/>
    <w:rsid w:val="001674E3"/>
    <w:rsid w:val="0016765C"/>
    <w:rsid w:val="001706BD"/>
    <w:rsid w:val="001709B0"/>
    <w:rsid w:val="00171C42"/>
    <w:rsid w:val="00172070"/>
    <w:rsid w:val="00172AEF"/>
    <w:rsid w:val="00172EA4"/>
    <w:rsid w:val="0017337E"/>
    <w:rsid w:val="0017430E"/>
    <w:rsid w:val="00174950"/>
    <w:rsid w:val="00174EC6"/>
    <w:rsid w:val="00175775"/>
    <w:rsid w:val="00177015"/>
    <w:rsid w:val="0017766B"/>
    <w:rsid w:val="00177673"/>
    <w:rsid w:val="00177B29"/>
    <w:rsid w:val="00177D7E"/>
    <w:rsid w:val="00180116"/>
    <w:rsid w:val="00180ADD"/>
    <w:rsid w:val="001811A3"/>
    <w:rsid w:val="00183002"/>
    <w:rsid w:val="001830C1"/>
    <w:rsid w:val="001835D8"/>
    <w:rsid w:val="00183B4B"/>
    <w:rsid w:val="001841E5"/>
    <w:rsid w:val="00184D8A"/>
    <w:rsid w:val="00185C6E"/>
    <w:rsid w:val="00185DDE"/>
    <w:rsid w:val="001860E3"/>
    <w:rsid w:val="00186E53"/>
    <w:rsid w:val="00186EE2"/>
    <w:rsid w:val="00190755"/>
    <w:rsid w:val="0019191E"/>
    <w:rsid w:val="0019192A"/>
    <w:rsid w:val="00191E7B"/>
    <w:rsid w:val="001924D4"/>
    <w:rsid w:val="00192BFD"/>
    <w:rsid w:val="00192EC8"/>
    <w:rsid w:val="00192F12"/>
    <w:rsid w:val="00194A24"/>
    <w:rsid w:val="00194EBC"/>
    <w:rsid w:val="0019598F"/>
    <w:rsid w:val="001960C8"/>
    <w:rsid w:val="001964BF"/>
    <w:rsid w:val="00196F75"/>
    <w:rsid w:val="00197399"/>
    <w:rsid w:val="0019742F"/>
    <w:rsid w:val="00197AF0"/>
    <w:rsid w:val="00197CBA"/>
    <w:rsid w:val="001A1597"/>
    <w:rsid w:val="001A1960"/>
    <w:rsid w:val="001A1E6C"/>
    <w:rsid w:val="001A1EDA"/>
    <w:rsid w:val="001A21BB"/>
    <w:rsid w:val="001A2317"/>
    <w:rsid w:val="001A23ED"/>
    <w:rsid w:val="001A2876"/>
    <w:rsid w:val="001A31D2"/>
    <w:rsid w:val="001A345E"/>
    <w:rsid w:val="001A4BC8"/>
    <w:rsid w:val="001A4DF0"/>
    <w:rsid w:val="001A696A"/>
    <w:rsid w:val="001A6D7A"/>
    <w:rsid w:val="001A78A3"/>
    <w:rsid w:val="001A7A6F"/>
    <w:rsid w:val="001A7ADB"/>
    <w:rsid w:val="001A7C3A"/>
    <w:rsid w:val="001A7DEC"/>
    <w:rsid w:val="001A7E23"/>
    <w:rsid w:val="001B05E3"/>
    <w:rsid w:val="001B0DE0"/>
    <w:rsid w:val="001B0F58"/>
    <w:rsid w:val="001B1BBE"/>
    <w:rsid w:val="001B204E"/>
    <w:rsid w:val="001B212A"/>
    <w:rsid w:val="001B2723"/>
    <w:rsid w:val="001B2E89"/>
    <w:rsid w:val="001B39B0"/>
    <w:rsid w:val="001B3F7A"/>
    <w:rsid w:val="001B4195"/>
    <w:rsid w:val="001B5096"/>
    <w:rsid w:val="001B56E0"/>
    <w:rsid w:val="001B5AF9"/>
    <w:rsid w:val="001B623A"/>
    <w:rsid w:val="001B701F"/>
    <w:rsid w:val="001B71E4"/>
    <w:rsid w:val="001B7A53"/>
    <w:rsid w:val="001C04DA"/>
    <w:rsid w:val="001C0EF9"/>
    <w:rsid w:val="001C1043"/>
    <w:rsid w:val="001C14DD"/>
    <w:rsid w:val="001C18C8"/>
    <w:rsid w:val="001C1D62"/>
    <w:rsid w:val="001C26BB"/>
    <w:rsid w:val="001C29F5"/>
    <w:rsid w:val="001C2DAE"/>
    <w:rsid w:val="001C30BE"/>
    <w:rsid w:val="001C34DD"/>
    <w:rsid w:val="001C3A5E"/>
    <w:rsid w:val="001C3B62"/>
    <w:rsid w:val="001C45CE"/>
    <w:rsid w:val="001C473E"/>
    <w:rsid w:val="001C479B"/>
    <w:rsid w:val="001C5D38"/>
    <w:rsid w:val="001C69AC"/>
    <w:rsid w:val="001D0E87"/>
    <w:rsid w:val="001D238E"/>
    <w:rsid w:val="001D4380"/>
    <w:rsid w:val="001D44D3"/>
    <w:rsid w:val="001D45AB"/>
    <w:rsid w:val="001D472D"/>
    <w:rsid w:val="001D473B"/>
    <w:rsid w:val="001D4B48"/>
    <w:rsid w:val="001D562D"/>
    <w:rsid w:val="001D5B49"/>
    <w:rsid w:val="001D72FC"/>
    <w:rsid w:val="001D76D3"/>
    <w:rsid w:val="001D77D9"/>
    <w:rsid w:val="001D7C56"/>
    <w:rsid w:val="001E014A"/>
    <w:rsid w:val="001E0B97"/>
    <w:rsid w:val="001E19CC"/>
    <w:rsid w:val="001E2B72"/>
    <w:rsid w:val="001E3886"/>
    <w:rsid w:val="001E3947"/>
    <w:rsid w:val="001E41A1"/>
    <w:rsid w:val="001E4977"/>
    <w:rsid w:val="001E4F4E"/>
    <w:rsid w:val="001E5D17"/>
    <w:rsid w:val="001E5E33"/>
    <w:rsid w:val="001E603A"/>
    <w:rsid w:val="001E7905"/>
    <w:rsid w:val="001F0273"/>
    <w:rsid w:val="001F066E"/>
    <w:rsid w:val="001F0DED"/>
    <w:rsid w:val="001F11C9"/>
    <w:rsid w:val="001F228D"/>
    <w:rsid w:val="001F43EF"/>
    <w:rsid w:val="001F4591"/>
    <w:rsid w:val="001F49F0"/>
    <w:rsid w:val="001F5E5C"/>
    <w:rsid w:val="001F6621"/>
    <w:rsid w:val="001F685C"/>
    <w:rsid w:val="001F6D1E"/>
    <w:rsid w:val="001F6D46"/>
    <w:rsid w:val="001F786C"/>
    <w:rsid w:val="002004BD"/>
    <w:rsid w:val="00200B36"/>
    <w:rsid w:val="00200EF1"/>
    <w:rsid w:val="002023A0"/>
    <w:rsid w:val="00202BD5"/>
    <w:rsid w:val="0020360C"/>
    <w:rsid w:val="00203B8B"/>
    <w:rsid w:val="00204A2D"/>
    <w:rsid w:val="00205212"/>
    <w:rsid w:val="00205E05"/>
    <w:rsid w:val="002060E9"/>
    <w:rsid w:val="00206146"/>
    <w:rsid w:val="00206814"/>
    <w:rsid w:val="002072FF"/>
    <w:rsid w:val="002075A1"/>
    <w:rsid w:val="00207DCC"/>
    <w:rsid w:val="002111B0"/>
    <w:rsid w:val="00211653"/>
    <w:rsid w:val="00212768"/>
    <w:rsid w:val="002138B4"/>
    <w:rsid w:val="00214040"/>
    <w:rsid w:val="00215279"/>
    <w:rsid w:val="00215A68"/>
    <w:rsid w:val="00215D7B"/>
    <w:rsid w:val="002163D0"/>
    <w:rsid w:val="00216561"/>
    <w:rsid w:val="00216821"/>
    <w:rsid w:val="00217D44"/>
    <w:rsid w:val="0022089F"/>
    <w:rsid w:val="00220E63"/>
    <w:rsid w:val="00220E85"/>
    <w:rsid w:val="00220FE0"/>
    <w:rsid w:val="00221008"/>
    <w:rsid w:val="002213D5"/>
    <w:rsid w:val="002219D2"/>
    <w:rsid w:val="00221F89"/>
    <w:rsid w:val="00222492"/>
    <w:rsid w:val="00222AB8"/>
    <w:rsid w:val="0022454E"/>
    <w:rsid w:val="00224693"/>
    <w:rsid w:val="0022570E"/>
    <w:rsid w:val="00225DD1"/>
    <w:rsid w:val="00225DFE"/>
    <w:rsid w:val="00226678"/>
    <w:rsid w:val="00230C49"/>
    <w:rsid w:val="00231001"/>
    <w:rsid w:val="002315ED"/>
    <w:rsid w:val="00232020"/>
    <w:rsid w:val="002333F5"/>
    <w:rsid w:val="002342C6"/>
    <w:rsid w:val="002366C4"/>
    <w:rsid w:val="00236D33"/>
    <w:rsid w:val="002371A1"/>
    <w:rsid w:val="00237350"/>
    <w:rsid w:val="00240FC9"/>
    <w:rsid w:val="002412A5"/>
    <w:rsid w:val="002412AC"/>
    <w:rsid w:val="0024182B"/>
    <w:rsid w:val="00242F20"/>
    <w:rsid w:val="002432AE"/>
    <w:rsid w:val="00243729"/>
    <w:rsid w:val="00243A9D"/>
    <w:rsid w:val="00244286"/>
    <w:rsid w:val="00245E29"/>
    <w:rsid w:val="0024632A"/>
    <w:rsid w:val="002464B8"/>
    <w:rsid w:val="00247638"/>
    <w:rsid w:val="00247662"/>
    <w:rsid w:val="00247677"/>
    <w:rsid w:val="00247C79"/>
    <w:rsid w:val="0025028A"/>
    <w:rsid w:val="00250412"/>
    <w:rsid w:val="00250802"/>
    <w:rsid w:val="00250837"/>
    <w:rsid w:val="00251050"/>
    <w:rsid w:val="002514E3"/>
    <w:rsid w:val="002516BF"/>
    <w:rsid w:val="00251952"/>
    <w:rsid w:val="00252A37"/>
    <w:rsid w:val="00252F74"/>
    <w:rsid w:val="002534D6"/>
    <w:rsid w:val="00253762"/>
    <w:rsid w:val="00254125"/>
    <w:rsid w:val="00256437"/>
    <w:rsid w:val="002566C6"/>
    <w:rsid w:val="00256EDB"/>
    <w:rsid w:val="00260579"/>
    <w:rsid w:val="00260692"/>
    <w:rsid w:val="00261CBB"/>
    <w:rsid w:val="002623BE"/>
    <w:rsid w:val="00262641"/>
    <w:rsid w:val="00262A81"/>
    <w:rsid w:val="002631DD"/>
    <w:rsid w:val="00264F3F"/>
    <w:rsid w:val="0026501F"/>
    <w:rsid w:val="00265042"/>
    <w:rsid w:val="00265651"/>
    <w:rsid w:val="002659CC"/>
    <w:rsid w:val="00265FC0"/>
    <w:rsid w:val="002661EA"/>
    <w:rsid w:val="0026673A"/>
    <w:rsid w:val="00267944"/>
    <w:rsid w:val="002701F4"/>
    <w:rsid w:val="002705E6"/>
    <w:rsid w:val="00270E06"/>
    <w:rsid w:val="00271623"/>
    <w:rsid w:val="00272407"/>
    <w:rsid w:val="00272BD1"/>
    <w:rsid w:val="00272D18"/>
    <w:rsid w:val="0027336F"/>
    <w:rsid w:val="0027339B"/>
    <w:rsid w:val="002733F0"/>
    <w:rsid w:val="00273E40"/>
    <w:rsid w:val="00274072"/>
    <w:rsid w:val="00274C83"/>
    <w:rsid w:val="00275A7D"/>
    <w:rsid w:val="00276974"/>
    <w:rsid w:val="0027741A"/>
    <w:rsid w:val="002803FA"/>
    <w:rsid w:val="002816FE"/>
    <w:rsid w:val="00281DA2"/>
    <w:rsid w:val="00283290"/>
    <w:rsid w:val="00283F87"/>
    <w:rsid w:val="0028421F"/>
    <w:rsid w:val="0028423E"/>
    <w:rsid w:val="002848F9"/>
    <w:rsid w:val="002860D0"/>
    <w:rsid w:val="002869F6"/>
    <w:rsid w:val="00286FC6"/>
    <w:rsid w:val="0028766C"/>
    <w:rsid w:val="0028770B"/>
    <w:rsid w:val="00290587"/>
    <w:rsid w:val="00290843"/>
    <w:rsid w:val="00291256"/>
    <w:rsid w:val="002915AA"/>
    <w:rsid w:val="00291BF1"/>
    <w:rsid w:val="00291D5B"/>
    <w:rsid w:val="00291FE0"/>
    <w:rsid w:val="0029276A"/>
    <w:rsid w:val="00292B2E"/>
    <w:rsid w:val="002935F4"/>
    <w:rsid w:val="002939F8"/>
    <w:rsid w:val="0029462B"/>
    <w:rsid w:val="0029495C"/>
    <w:rsid w:val="00294EFB"/>
    <w:rsid w:val="00295A05"/>
    <w:rsid w:val="00297161"/>
    <w:rsid w:val="00297245"/>
    <w:rsid w:val="00297861"/>
    <w:rsid w:val="00297B51"/>
    <w:rsid w:val="002A02D1"/>
    <w:rsid w:val="002A1503"/>
    <w:rsid w:val="002A1F2D"/>
    <w:rsid w:val="002A5016"/>
    <w:rsid w:val="002A5B5B"/>
    <w:rsid w:val="002A5FEC"/>
    <w:rsid w:val="002A6D98"/>
    <w:rsid w:val="002A6DFD"/>
    <w:rsid w:val="002A761B"/>
    <w:rsid w:val="002A7B07"/>
    <w:rsid w:val="002A7C0E"/>
    <w:rsid w:val="002A7D51"/>
    <w:rsid w:val="002B0417"/>
    <w:rsid w:val="002B088E"/>
    <w:rsid w:val="002B0B1A"/>
    <w:rsid w:val="002B0E10"/>
    <w:rsid w:val="002B1805"/>
    <w:rsid w:val="002B1EC7"/>
    <w:rsid w:val="002B22B6"/>
    <w:rsid w:val="002B3052"/>
    <w:rsid w:val="002B48A6"/>
    <w:rsid w:val="002B48F5"/>
    <w:rsid w:val="002B4980"/>
    <w:rsid w:val="002B537D"/>
    <w:rsid w:val="002B5D05"/>
    <w:rsid w:val="002B697D"/>
    <w:rsid w:val="002B6D79"/>
    <w:rsid w:val="002B75AD"/>
    <w:rsid w:val="002B7689"/>
    <w:rsid w:val="002C045E"/>
    <w:rsid w:val="002C0D25"/>
    <w:rsid w:val="002C0D97"/>
    <w:rsid w:val="002C0ECB"/>
    <w:rsid w:val="002C1D7E"/>
    <w:rsid w:val="002C1E62"/>
    <w:rsid w:val="002C2018"/>
    <w:rsid w:val="002C2E41"/>
    <w:rsid w:val="002C3002"/>
    <w:rsid w:val="002C4069"/>
    <w:rsid w:val="002C413E"/>
    <w:rsid w:val="002C44B6"/>
    <w:rsid w:val="002C5317"/>
    <w:rsid w:val="002C5B4E"/>
    <w:rsid w:val="002C60A2"/>
    <w:rsid w:val="002C6897"/>
    <w:rsid w:val="002C72D1"/>
    <w:rsid w:val="002C798D"/>
    <w:rsid w:val="002C7C49"/>
    <w:rsid w:val="002D0F98"/>
    <w:rsid w:val="002D193A"/>
    <w:rsid w:val="002D2586"/>
    <w:rsid w:val="002D2962"/>
    <w:rsid w:val="002D29E2"/>
    <w:rsid w:val="002D2E2E"/>
    <w:rsid w:val="002D2EB9"/>
    <w:rsid w:val="002D3359"/>
    <w:rsid w:val="002D3804"/>
    <w:rsid w:val="002D40B8"/>
    <w:rsid w:val="002D4B7A"/>
    <w:rsid w:val="002D4D2E"/>
    <w:rsid w:val="002D5200"/>
    <w:rsid w:val="002D5750"/>
    <w:rsid w:val="002D5A10"/>
    <w:rsid w:val="002D6933"/>
    <w:rsid w:val="002D6A09"/>
    <w:rsid w:val="002D6AC9"/>
    <w:rsid w:val="002D7586"/>
    <w:rsid w:val="002E131C"/>
    <w:rsid w:val="002E1AEF"/>
    <w:rsid w:val="002E235F"/>
    <w:rsid w:val="002E2451"/>
    <w:rsid w:val="002E3563"/>
    <w:rsid w:val="002E3D9B"/>
    <w:rsid w:val="002E3DA5"/>
    <w:rsid w:val="002E3E02"/>
    <w:rsid w:val="002E41C7"/>
    <w:rsid w:val="002E4677"/>
    <w:rsid w:val="002E4A00"/>
    <w:rsid w:val="002E5150"/>
    <w:rsid w:val="002E61DF"/>
    <w:rsid w:val="002E69C3"/>
    <w:rsid w:val="002E6B45"/>
    <w:rsid w:val="002E73A9"/>
    <w:rsid w:val="002E7FA9"/>
    <w:rsid w:val="002F0C1F"/>
    <w:rsid w:val="002F1786"/>
    <w:rsid w:val="002F1D56"/>
    <w:rsid w:val="002F1D9F"/>
    <w:rsid w:val="002F3331"/>
    <w:rsid w:val="002F333E"/>
    <w:rsid w:val="002F3AED"/>
    <w:rsid w:val="002F3C00"/>
    <w:rsid w:val="002F3C56"/>
    <w:rsid w:val="002F3DAE"/>
    <w:rsid w:val="002F506D"/>
    <w:rsid w:val="002F553F"/>
    <w:rsid w:val="002F5ECB"/>
    <w:rsid w:val="002F6175"/>
    <w:rsid w:val="002F6810"/>
    <w:rsid w:val="002F6817"/>
    <w:rsid w:val="00302193"/>
    <w:rsid w:val="003030EF"/>
    <w:rsid w:val="003035AC"/>
    <w:rsid w:val="003036DC"/>
    <w:rsid w:val="003041EA"/>
    <w:rsid w:val="00304952"/>
    <w:rsid w:val="00304AEA"/>
    <w:rsid w:val="00305E4B"/>
    <w:rsid w:val="003060A1"/>
    <w:rsid w:val="00306311"/>
    <w:rsid w:val="0030713A"/>
    <w:rsid w:val="00307865"/>
    <w:rsid w:val="003079F4"/>
    <w:rsid w:val="00307F43"/>
    <w:rsid w:val="0031109A"/>
    <w:rsid w:val="0031145D"/>
    <w:rsid w:val="0031178B"/>
    <w:rsid w:val="00311E4B"/>
    <w:rsid w:val="003122CD"/>
    <w:rsid w:val="0031243A"/>
    <w:rsid w:val="003143D1"/>
    <w:rsid w:val="003144C2"/>
    <w:rsid w:val="0031477E"/>
    <w:rsid w:val="00315216"/>
    <w:rsid w:val="0031671F"/>
    <w:rsid w:val="00316872"/>
    <w:rsid w:val="00316D5B"/>
    <w:rsid w:val="00316D73"/>
    <w:rsid w:val="003179DC"/>
    <w:rsid w:val="00317D9B"/>
    <w:rsid w:val="0032107C"/>
    <w:rsid w:val="00321279"/>
    <w:rsid w:val="003214EE"/>
    <w:rsid w:val="00322883"/>
    <w:rsid w:val="00322ACE"/>
    <w:rsid w:val="00322ECF"/>
    <w:rsid w:val="00322FB8"/>
    <w:rsid w:val="0032330B"/>
    <w:rsid w:val="00323E5E"/>
    <w:rsid w:val="003240A1"/>
    <w:rsid w:val="00324259"/>
    <w:rsid w:val="00324433"/>
    <w:rsid w:val="003308B4"/>
    <w:rsid w:val="0033169D"/>
    <w:rsid w:val="00332050"/>
    <w:rsid w:val="0033209C"/>
    <w:rsid w:val="0033360E"/>
    <w:rsid w:val="00333C57"/>
    <w:rsid w:val="00335546"/>
    <w:rsid w:val="00336144"/>
    <w:rsid w:val="00336172"/>
    <w:rsid w:val="00336415"/>
    <w:rsid w:val="003377E7"/>
    <w:rsid w:val="00337C83"/>
    <w:rsid w:val="00337CC3"/>
    <w:rsid w:val="00340408"/>
    <w:rsid w:val="00341654"/>
    <w:rsid w:val="00341E91"/>
    <w:rsid w:val="00342408"/>
    <w:rsid w:val="0034329B"/>
    <w:rsid w:val="003442BC"/>
    <w:rsid w:val="00344925"/>
    <w:rsid w:val="00345D17"/>
    <w:rsid w:val="0035037B"/>
    <w:rsid w:val="00350760"/>
    <w:rsid w:val="00350D8F"/>
    <w:rsid w:val="00351BB1"/>
    <w:rsid w:val="00353366"/>
    <w:rsid w:val="003537C3"/>
    <w:rsid w:val="00353DCE"/>
    <w:rsid w:val="003549C7"/>
    <w:rsid w:val="003569FB"/>
    <w:rsid w:val="003570BF"/>
    <w:rsid w:val="00360B5B"/>
    <w:rsid w:val="00360CA8"/>
    <w:rsid w:val="0036110C"/>
    <w:rsid w:val="003614E7"/>
    <w:rsid w:val="00361B54"/>
    <w:rsid w:val="00364091"/>
    <w:rsid w:val="00364E44"/>
    <w:rsid w:val="003656F3"/>
    <w:rsid w:val="0036703C"/>
    <w:rsid w:val="00370AE8"/>
    <w:rsid w:val="00370C3F"/>
    <w:rsid w:val="0037183F"/>
    <w:rsid w:val="00372B73"/>
    <w:rsid w:val="003733C6"/>
    <w:rsid w:val="0037359C"/>
    <w:rsid w:val="00373728"/>
    <w:rsid w:val="00374542"/>
    <w:rsid w:val="0037501B"/>
    <w:rsid w:val="00375942"/>
    <w:rsid w:val="00376684"/>
    <w:rsid w:val="0037713D"/>
    <w:rsid w:val="003773F7"/>
    <w:rsid w:val="00377684"/>
    <w:rsid w:val="00377782"/>
    <w:rsid w:val="003778F3"/>
    <w:rsid w:val="003809EF"/>
    <w:rsid w:val="00382E8D"/>
    <w:rsid w:val="00384554"/>
    <w:rsid w:val="0038542A"/>
    <w:rsid w:val="0038580E"/>
    <w:rsid w:val="00386190"/>
    <w:rsid w:val="00386286"/>
    <w:rsid w:val="00390444"/>
    <w:rsid w:val="003930DC"/>
    <w:rsid w:val="00394AEC"/>
    <w:rsid w:val="003950EE"/>
    <w:rsid w:val="0039516F"/>
    <w:rsid w:val="00395D06"/>
    <w:rsid w:val="00395EB4"/>
    <w:rsid w:val="00396906"/>
    <w:rsid w:val="00396E33"/>
    <w:rsid w:val="00397883"/>
    <w:rsid w:val="00397DEC"/>
    <w:rsid w:val="003A122C"/>
    <w:rsid w:val="003A130C"/>
    <w:rsid w:val="003A135B"/>
    <w:rsid w:val="003A1E06"/>
    <w:rsid w:val="003A28B5"/>
    <w:rsid w:val="003A3552"/>
    <w:rsid w:val="003A3AE2"/>
    <w:rsid w:val="003A4C6C"/>
    <w:rsid w:val="003A4CCC"/>
    <w:rsid w:val="003A5203"/>
    <w:rsid w:val="003A55EF"/>
    <w:rsid w:val="003A5D73"/>
    <w:rsid w:val="003A5FD0"/>
    <w:rsid w:val="003A713D"/>
    <w:rsid w:val="003B0724"/>
    <w:rsid w:val="003B113E"/>
    <w:rsid w:val="003B1362"/>
    <w:rsid w:val="003B1957"/>
    <w:rsid w:val="003B2157"/>
    <w:rsid w:val="003B3181"/>
    <w:rsid w:val="003B383B"/>
    <w:rsid w:val="003B4F57"/>
    <w:rsid w:val="003B545A"/>
    <w:rsid w:val="003B63C2"/>
    <w:rsid w:val="003B64FA"/>
    <w:rsid w:val="003B67EF"/>
    <w:rsid w:val="003B686B"/>
    <w:rsid w:val="003B6987"/>
    <w:rsid w:val="003B7311"/>
    <w:rsid w:val="003B748D"/>
    <w:rsid w:val="003C03AA"/>
    <w:rsid w:val="003C0743"/>
    <w:rsid w:val="003C092E"/>
    <w:rsid w:val="003C1631"/>
    <w:rsid w:val="003C18F6"/>
    <w:rsid w:val="003C2219"/>
    <w:rsid w:val="003C281B"/>
    <w:rsid w:val="003C2DC9"/>
    <w:rsid w:val="003C403B"/>
    <w:rsid w:val="003C4320"/>
    <w:rsid w:val="003C4773"/>
    <w:rsid w:val="003C486D"/>
    <w:rsid w:val="003C4996"/>
    <w:rsid w:val="003C4BBA"/>
    <w:rsid w:val="003C55FD"/>
    <w:rsid w:val="003C6CAD"/>
    <w:rsid w:val="003C6DD8"/>
    <w:rsid w:val="003C77C6"/>
    <w:rsid w:val="003D04C1"/>
    <w:rsid w:val="003D0542"/>
    <w:rsid w:val="003D084E"/>
    <w:rsid w:val="003D0B6B"/>
    <w:rsid w:val="003D1B51"/>
    <w:rsid w:val="003D1D4E"/>
    <w:rsid w:val="003D1D91"/>
    <w:rsid w:val="003D1E4F"/>
    <w:rsid w:val="003D2D4F"/>
    <w:rsid w:val="003D3511"/>
    <w:rsid w:val="003D4850"/>
    <w:rsid w:val="003D4FB5"/>
    <w:rsid w:val="003D500D"/>
    <w:rsid w:val="003D56E3"/>
    <w:rsid w:val="003D672E"/>
    <w:rsid w:val="003D78D9"/>
    <w:rsid w:val="003E073C"/>
    <w:rsid w:val="003E12F1"/>
    <w:rsid w:val="003E14C9"/>
    <w:rsid w:val="003E3173"/>
    <w:rsid w:val="003E321A"/>
    <w:rsid w:val="003E38B7"/>
    <w:rsid w:val="003E41DB"/>
    <w:rsid w:val="003E4CBA"/>
    <w:rsid w:val="003E5E6A"/>
    <w:rsid w:val="003E6275"/>
    <w:rsid w:val="003E68EE"/>
    <w:rsid w:val="003E6C51"/>
    <w:rsid w:val="003E75BD"/>
    <w:rsid w:val="003E7AF7"/>
    <w:rsid w:val="003E7CA3"/>
    <w:rsid w:val="003E7FF9"/>
    <w:rsid w:val="003F028F"/>
    <w:rsid w:val="003F072A"/>
    <w:rsid w:val="003F0AE8"/>
    <w:rsid w:val="003F1883"/>
    <w:rsid w:val="003F1BEC"/>
    <w:rsid w:val="003F1C33"/>
    <w:rsid w:val="003F2315"/>
    <w:rsid w:val="003F2900"/>
    <w:rsid w:val="003F35D5"/>
    <w:rsid w:val="003F47A3"/>
    <w:rsid w:val="003F6D2F"/>
    <w:rsid w:val="003F6D6A"/>
    <w:rsid w:val="003F6F98"/>
    <w:rsid w:val="003F7449"/>
    <w:rsid w:val="003F7CFB"/>
    <w:rsid w:val="003F7D0A"/>
    <w:rsid w:val="003F7E4D"/>
    <w:rsid w:val="004004BB"/>
    <w:rsid w:val="00400698"/>
    <w:rsid w:val="00401424"/>
    <w:rsid w:val="004015BC"/>
    <w:rsid w:val="004020DC"/>
    <w:rsid w:val="00402738"/>
    <w:rsid w:val="00402D10"/>
    <w:rsid w:val="00405103"/>
    <w:rsid w:val="0040538F"/>
    <w:rsid w:val="00405DA3"/>
    <w:rsid w:val="004101E8"/>
    <w:rsid w:val="00410DEB"/>
    <w:rsid w:val="0041136E"/>
    <w:rsid w:val="00411E09"/>
    <w:rsid w:val="00413825"/>
    <w:rsid w:val="0041449C"/>
    <w:rsid w:val="0041659A"/>
    <w:rsid w:val="00417836"/>
    <w:rsid w:val="0042237A"/>
    <w:rsid w:val="00423801"/>
    <w:rsid w:val="004239AC"/>
    <w:rsid w:val="00423D80"/>
    <w:rsid w:val="00424330"/>
    <w:rsid w:val="00424C28"/>
    <w:rsid w:val="004259CB"/>
    <w:rsid w:val="00425CF0"/>
    <w:rsid w:val="00426464"/>
    <w:rsid w:val="0042673B"/>
    <w:rsid w:val="00427118"/>
    <w:rsid w:val="004274A5"/>
    <w:rsid w:val="00427E03"/>
    <w:rsid w:val="0043101E"/>
    <w:rsid w:val="0043146E"/>
    <w:rsid w:val="00431B34"/>
    <w:rsid w:val="00431F9A"/>
    <w:rsid w:val="0043247C"/>
    <w:rsid w:val="0043260D"/>
    <w:rsid w:val="00432E1D"/>
    <w:rsid w:val="004339A1"/>
    <w:rsid w:val="00433CC6"/>
    <w:rsid w:val="00434A1F"/>
    <w:rsid w:val="00434DF4"/>
    <w:rsid w:val="0043513D"/>
    <w:rsid w:val="00435351"/>
    <w:rsid w:val="0043566A"/>
    <w:rsid w:val="00435958"/>
    <w:rsid w:val="00436118"/>
    <w:rsid w:val="004361F6"/>
    <w:rsid w:val="00436291"/>
    <w:rsid w:val="0043768B"/>
    <w:rsid w:val="00440E03"/>
    <w:rsid w:val="004413F1"/>
    <w:rsid w:val="004415C4"/>
    <w:rsid w:val="00441912"/>
    <w:rsid w:val="00442341"/>
    <w:rsid w:val="004423BC"/>
    <w:rsid w:val="00442426"/>
    <w:rsid w:val="00442B0F"/>
    <w:rsid w:val="00443518"/>
    <w:rsid w:val="004438AF"/>
    <w:rsid w:val="00443A31"/>
    <w:rsid w:val="00443F13"/>
    <w:rsid w:val="004442B9"/>
    <w:rsid w:val="004444FC"/>
    <w:rsid w:val="00444853"/>
    <w:rsid w:val="00444C24"/>
    <w:rsid w:val="00445886"/>
    <w:rsid w:val="00447A39"/>
    <w:rsid w:val="00447C63"/>
    <w:rsid w:val="00450C16"/>
    <w:rsid w:val="00451794"/>
    <w:rsid w:val="00451DF5"/>
    <w:rsid w:val="004526BF"/>
    <w:rsid w:val="004528FD"/>
    <w:rsid w:val="00452944"/>
    <w:rsid w:val="0045340E"/>
    <w:rsid w:val="0045353E"/>
    <w:rsid w:val="004537F3"/>
    <w:rsid w:val="00453DCD"/>
    <w:rsid w:val="0045554A"/>
    <w:rsid w:val="0045639B"/>
    <w:rsid w:val="00456CD8"/>
    <w:rsid w:val="00457DB0"/>
    <w:rsid w:val="004602E2"/>
    <w:rsid w:val="00460F6F"/>
    <w:rsid w:val="00462266"/>
    <w:rsid w:val="004627A8"/>
    <w:rsid w:val="00462DDE"/>
    <w:rsid w:val="00463D61"/>
    <w:rsid w:val="00465FE6"/>
    <w:rsid w:val="00466FD0"/>
    <w:rsid w:val="004673B5"/>
    <w:rsid w:val="00467727"/>
    <w:rsid w:val="00467C80"/>
    <w:rsid w:val="0047196C"/>
    <w:rsid w:val="004723EC"/>
    <w:rsid w:val="00472FF9"/>
    <w:rsid w:val="0047318D"/>
    <w:rsid w:val="00473EBC"/>
    <w:rsid w:val="00474BC3"/>
    <w:rsid w:val="00475880"/>
    <w:rsid w:val="0047613C"/>
    <w:rsid w:val="004765D0"/>
    <w:rsid w:val="00476D6C"/>
    <w:rsid w:val="00476DC4"/>
    <w:rsid w:val="00477163"/>
    <w:rsid w:val="004776E9"/>
    <w:rsid w:val="00480300"/>
    <w:rsid w:val="00480C33"/>
    <w:rsid w:val="00482793"/>
    <w:rsid w:val="004832DC"/>
    <w:rsid w:val="0048489A"/>
    <w:rsid w:val="00484E91"/>
    <w:rsid w:val="00485753"/>
    <w:rsid w:val="00485ED0"/>
    <w:rsid w:val="00487CA7"/>
    <w:rsid w:val="004903CD"/>
    <w:rsid w:val="00490604"/>
    <w:rsid w:val="00490D0B"/>
    <w:rsid w:val="00490F76"/>
    <w:rsid w:val="00491085"/>
    <w:rsid w:val="00492C1D"/>
    <w:rsid w:val="004930A2"/>
    <w:rsid w:val="00493A9A"/>
    <w:rsid w:val="004943B8"/>
    <w:rsid w:val="0049773A"/>
    <w:rsid w:val="00497E55"/>
    <w:rsid w:val="00497F41"/>
    <w:rsid w:val="004A021E"/>
    <w:rsid w:val="004A0EAB"/>
    <w:rsid w:val="004A1AD9"/>
    <w:rsid w:val="004A1B33"/>
    <w:rsid w:val="004A230C"/>
    <w:rsid w:val="004A2CC4"/>
    <w:rsid w:val="004A3722"/>
    <w:rsid w:val="004A5830"/>
    <w:rsid w:val="004A63A3"/>
    <w:rsid w:val="004A6AD9"/>
    <w:rsid w:val="004A6E41"/>
    <w:rsid w:val="004A7CD8"/>
    <w:rsid w:val="004A7ED9"/>
    <w:rsid w:val="004A7F3D"/>
    <w:rsid w:val="004B0895"/>
    <w:rsid w:val="004B0CE1"/>
    <w:rsid w:val="004B1194"/>
    <w:rsid w:val="004B14B8"/>
    <w:rsid w:val="004B14D1"/>
    <w:rsid w:val="004B1B36"/>
    <w:rsid w:val="004B22DC"/>
    <w:rsid w:val="004B24E6"/>
    <w:rsid w:val="004B27EE"/>
    <w:rsid w:val="004B28A5"/>
    <w:rsid w:val="004B331E"/>
    <w:rsid w:val="004B3458"/>
    <w:rsid w:val="004B38EE"/>
    <w:rsid w:val="004B3D43"/>
    <w:rsid w:val="004B3DD6"/>
    <w:rsid w:val="004B484A"/>
    <w:rsid w:val="004B48BB"/>
    <w:rsid w:val="004B4AC0"/>
    <w:rsid w:val="004B59FA"/>
    <w:rsid w:val="004B5B69"/>
    <w:rsid w:val="004B5C03"/>
    <w:rsid w:val="004B6333"/>
    <w:rsid w:val="004B65C9"/>
    <w:rsid w:val="004B6A90"/>
    <w:rsid w:val="004B77F3"/>
    <w:rsid w:val="004C0286"/>
    <w:rsid w:val="004C07C7"/>
    <w:rsid w:val="004C100E"/>
    <w:rsid w:val="004C19B5"/>
    <w:rsid w:val="004C2091"/>
    <w:rsid w:val="004C2246"/>
    <w:rsid w:val="004C3C19"/>
    <w:rsid w:val="004C41ED"/>
    <w:rsid w:val="004C4410"/>
    <w:rsid w:val="004C4928"/>
    <w:rsid w:val="004C4E94"/>
    <w:rsid w:val="004C4FDD"/>
    <w:rsid w:val="004C58AD"/>
    <w:rsid w:val="004C5AFB"/>
    <w:rsid w:val="004C618D"/>
    <w:rsid w:val="004C6EBE"/>
    <w:rsid w:val="004C745D"/>
    <w:rsid w:val="004C7C5C"/>
    <w:rsid w:val="004D0A36"/>
    <w:rsid w:val="004D0C4B"/>
    <w:rsid w:val="004D13B8"/>
    <w:rsid w:val="004D16BB"/>
    <w:rsid w:val="004D1F43"/>
    <w:rsid w:val="004D2221"/>
    <w:rsid w:val="004D26C3"/>
    <w:rsid w:val="004D27FF"/>
    <w:rsid w:val="004D3497"/>
    <w:rsid w:val="004D4133"/>
    <w:rsid w:val="004D48C3"/>
    <w:rsid w:val="004D568F"/>
    <w:rsid w:val="004D5734"/>
    <w:rsid w:val="004D5894"/>
    <w:rsid w:val="004D5B17"/>
    <w:rsid w:val="004D5D74"/>
    <w:rsid w:val="004D5F1C"/>
    <w:rsid w:val="004D62EE"/>
    <w:rsid w:val="004D685A"/>
    <w:rsid w:val="004D699F"/>
    <w:rsid w:val="004D6F58"/>
    <w:rsid w:val="004D7D15"/>
    <w:rsid w:val="004E0F18"/>
    <w:rsid w:val="004E10A1"/>
    <w:rsid w:val="004E151F"/>
    <w:rsid w:val="004E1603"/>
    <w:rsid w:val="004E1912"/>
    <w:rsid w:val="004E23CB"/>
    <w:rsid w:val="004E2698"/>
    <w:rsid w:val="004E2CEF"/>
    <w:rsid w:val="004E3C3B"/>
    <w:rsid w:val="004E3DA1"/>
    <w:rsid w:val="004E5483"/>
    <w:rsid w:val="004E569A"/>
    <w:rsid w:val="004E6E1B"/>
    <w:rsid w:val="004E7997"/>
    <w:rsid w:val="004E7D8A"/>
    <w:rsid w:val="004F1424"/>
    <w:rsid w:val="004F1EA8"/>
    <w:rsid w:val="004F24C2"/>
    <w:rsid w:val="004F2DFB"/>
    <w:rsid w:val="004F34C8"/>
    <w:rsid w:val="004F3966"/>
    <w:rsid w:val="004F483A"/>
    <w:rsid w:val="004F52E1"/>
    <w:rsid w:val="004F580F"/>
    <w:rsid w:val="004F5990"/>
    <w:rsid w:val="004F6A9C"/>
    <w:rsid w:val="004F6BA0"/>
    <w:rsid w:val="004F6FF4"/>
    <w:rsid w:val="004F70B9"/>
    <w:rsid w:val="004F7D26"/>
    <w:rsid w:val="0050027D"/>
    <w:rsid w:val="0050041E"/>
    <w:rsid w:val="005005A6"/>
    <w:rsid w:val="00502A7E"/>
    <w:rsid w:val="00503347"/>
    <w:rsid w:val="0050411B"/>
    <w:rsid w:val="005054E1"/>
    <w:rsid w:val="00505862"/>
    <w:rsid w:val="0050617E"/>
    <w:rsid w:val="0050758C"/>
    <w:rsid w:val="0051036B"/>
    <w:rsid w:val="005108E3"/>
    <w:rsid w:val="00512030"/>
    <w:rsid w:val="00512A56"/>
    <w:rsid w:val="00512B07"/>
    <w:rsid w:val="00512FC7"/>
    <w:rsid w:val="005133C5"/>
    <w:rsid w:val="005137F9"/>
    <w:rsid w:val="00514881"/>
    <w:rsid w:val="005151E9"/>
    <w:rsid w:val="0051575F"/>
    <w:rsid w:val="00515C3F"/>
    <w:rsid w:val="00516B62"/>
    <w:rsid w:val="00517AF0"/>
    <w:rsid w:val="00520DC1"/>
    <w:rsid w:val="00522804"/>
    <w:rsid w:val="00522831"/>
    <w:rsid w:val="005230EE"/>
    <w:rsid w:val="005234BE"/>
    <w:rsid w:val="00523BF9"/>
    <w:rsid w:val="00524F68"/>
    <w:rsid w:val="00525F06"/>
    <w:rsid w:val="00525F34"/>
    <w:rsid w:val="005265CC"/>
    <w:rsid w:val="00527314"/>
    <w:rsid w:val="00530463"/>
    <w:rsid w:val="005310C7"/>
    <w:rsid w:val="0053193E"/>
    <w:rsid w:val="0053268C"/>
    <w:rsid w:val="00532D80"/>
    <w:rsid w:val="00533159"/>
    <w:rsid w:val="00533470"/>
    <w:rsid w:val="00533F63"/>
    <w:rsid w:val="0053418F"/>
    <w:rsid w:val="00534B92"/>
    <w:rsid w:val="005361BC"/>
    <w:rsid w:val="00536432"/>
    <w:rsid w:val="005372E4"/>
    <w:rsid w:val="0053730A"/>
    <w:rsid w:val="0053784B"/>
    <w:rsid w:val="00541268"/>
    <w:rsid w:val="00542556"/>
    <w:rsid w:val="005438FD"/>
    <w:rsid w:val="00544144"/>
    <w:rsid w:val="00544ADA"/>
    <w:rsid w:val="0054543F"/>
    <w:rsid w:val="00546CDA"/>
    <w:rsid w:val="00547F60"/>
    <w:rsid w:val="00547F7F"/>
    <w:rsid w:val="00550D55"/>
    <w:rsid w:val="0055185D"/>
    <w:rsid w:val="00551A3F"/>
    <w:rsid w:val="00551C73"/>
    <w:rsid w:val="00552400"/>
    <w:rsid w:val="00554230"/>
    <w:rsid w:val="00554CB1"/>
    <w:rsid w:val="00555201"/>
    <w:rsid w:val="0055675C"/>
    <w:rsid w:val="0055738F"/>
    <w:rsid w:val="00557A21"/>
    <w:rsid w:val="0056004A"/>
    <w:rsid w:val="00560280"/>
    <w:rsid w:val="005603ED"/>
    <w:rsid w:val="00560690"/>
    <w:rsid w:val="005616DE"/>
    <w:rsid w:val="00561A87"/>
    <w:rsid w:val="00561B8D"/>
    <w:rsid w:val="00562485"/>
    <w:rsid w:val="00562A51"/>
    <w:rsid w:val="00562AB7"/>
    <w:rsid w:val="00562F05"/>
    <w:rsid w:val="00563BA5"/>
    <w:rsid w:val="0056458C"/>
    <w:rsid w:val="00564F67"/>
    <w:rsid w:val="0056788D"/>
    <w:rsid w:val="00570030"/>
    <w:rsid w:val="00570FEC"/>
    <w:rsid w:val="005716F6"/>
    <w:rsid w:val="0057196D"/>
    <w:rsid w:val="00571B8A"/>
    <w:rsid w:val="00571C55"/>
    <w:rsid w:val="005733A3"/>
    <w:rsid w:val="005738EB"/>
    <w:rsid w:val="00575C34"/>
    <w:rsid w:val="0057676C"/>
    <w:rsid w:val="00577243"/>
    <w:rsid w:val="0057773F"/>
    <w:rsid w:val="005805FC"/>
    <w:rsid w:val="00581ED6"/>
    <w:rsid w:val="00582F3F"/>
    <w:rsid w:val="005837E7"/>
    <w:rsid w:val="0058446C"/>
    <w:rsid w:val="00584B8D"/>
    <w:rsid w:val="00584C88"/>
    <w:rsid w:val="0058569C"/>
    <w:rsid w:val="00585B66"/>
    <w:rsid w:val="005862B4"/>
    <w:rsid w:val="00586BA8"/>
    <w:rsid w:val="0058779E"/>
    <w:rsid w:val="00587A82"/>
    <w:rsid w:val="00590163"/>
    <w:rsid w:val="00590517"/>
    <w:rsid w:val="005908EA"/>
    <w:rsid w:val="005913D4"/>
    <w:rsid w:val="00592BCD"/>
    <w:rsid w:val="00592D14"/>
    <w:rsid w:val="0059399A"/>
    <w:rsid w:val="00593B9F"/>
    <w:rsid w:val="00593F67"/>
    <w:rsid w:val="00594F01"/>
    <w:rsid w:val="00594F55"/>
    <w:rsid w:val="00594FB0"/>
    <w:rsid w:val="005951AA"/>
    <w:rsid w:val="00595BF5"/>
    <w:rsid w:val="005960A3"/>
    <w:rsid w:val="005965E7"/>
    <w:rsid w:val="00596AE8"/>
    <w:rsid w:val="00596FC3"/>
    <w:rsid w:val="00597894"/>
    <w:rsid w:val="005A0366"/>
    <w:rsid w:val="005A07F9"/>
    <w:rsid w:val="005A0943"/>
    <w:rsid w:val="005A2883"/>
    <w:rsid w:val="005A312D"/>
    <w:rsid w:val="005A3310"/>
    <w:rsid w:val="005A3642"/>
    <w:rsid w:val="005A4A3B"/>
    <w:rsid w:val="005A4A5F"/>
    <w:rsid w:val="005A4AB9"/>
    <w:rsid w:val="005A5663"/>
    <w:rsid w:val="005A5826"/>
    <w:rsid w:val="005A5856"/>
    <w:rsid w:val="005A5AB0"/>
    <w:rsid w:val="005A65B2"/>
    <w:rsid w:val="005A6E87"/>
    <w:rsid w:val="005A7415"/>
    <w:rsid w:val="005A74FB"/>
    <w:rsid w:val="005B02B3"/>
    <w:rsid w:val="005B04B6"/>
    <w:rsid w:val="005B051A"/>
    <w:rsid w:val="005B0FB0"/>
    <w:rsid w:val="005B1BCA"/>
    <w:rsid w:val="005B1BEC"/>
    <w:rsid w:val="005B2C37"/>
    <w:rsid w:val="005B3784"/>
    <w:rsid w:val="005B39A2"/>
    <w:rsid w:val="005B571B"/>
    <w:rsid w:val="005B5AE0"/>
    <w:rsid w:val="005B5E14"/>
    <w:rsid w:val="005B600A"/>
    <w:rsid w:val="005B66C2"/>
    <w:rsid w:val="005B6B69"/>
    <w:rsid w:val="005B78A6"/>
    <w:rsid w:val="005B7A36"/>
    <w:rsid w:val="005B7E3E"/>
    <w:rsid w:val="005C0BF0"/>
    <w:rsid w:val="005C0C1C"/>
    <w:rsid w:val="005C0CC0"/>
    <w:rsid w:val="005C16F7"/>
    <w:rsid w:val="005C17A4"/>
    <w:rsid w:val="005C1908"/>
    <w:rsid w:val="005C1C06"/>
    <w:rsid w:val="005C1E3A"/>
    <w:rsid w:val="005C1E7E"/>
    <w:rsid w:val="005C2B60"/>
    <w:rsid w:val="005C3499"/>
    <w:rsid w:val="005C3A4E"/>
    <w:rsid w:val="005C4923"/>
    <w:rsid w:val="005C54D1"/>
    <w:rsid w:val="005C5CA6"/>
    <w:rsid w:val="005C70F4"/>
    <w:rsid w:val="005C75B5"/>
    <w:rsid w:val="005C75BA"/>
    <w:rsid w:val="005D1FE9"/>
    <w:rsid w:val="005D28BF"/>
    <w:rsid w:val="005D333B"/>
    <w:rsid w:val="005D3CA0"/>
    <w:rsid w:val="005D3F78"/>
    <w:rsid w:val="005D4573"/>
    <w:rsid w:val="005D50C5"/>
    <w:rsid w:val="005D50EF"/>
    <w:rsid w:val="005D7EBC"/>
    <w:rsid w:val="005E163F"/>
    <w:rsid w:val="005E2299"/>
    <w:rsid w:val="005E2CA0"/>
    <w:rsid w:val="005E30C1"/>
    <w:rsid w:val="005E3526"/>
    <w:rsid w:val="005E3D73"/>
    <w:rsid w:val="005E418B"/>
    <w:rsid w:val="005E48A8"/>
    <w:rsid w:val="005E509C"/>
    <w:rsid w:val="005E519B"/>
    <w:rsid w:val="005E56D9"/>
    <w:rsid w:val="005E57AF"/>
    <w:rsid w:val="005E61AE"/>
    <w:rsid w:val="005E6BF2"/>
    <w:rsid w:val="005E706A"/>
    <w:rsid w:val="005E707A"/>
    <w:rsid w:val="005E72C0"/>
    <w:rsid w:val="005F0195"/>
    <w:rsid w:val="005F063E"/>
    <w:rsid w:val="005F0757"/>
    <w:rsid w:val="005F0E07"/>
    <w:rsid w:val="005F1DFA"/>
    <w:rsid w:val="005F30B0"/>
    <w:rsid w:val="005F42A6"/>
    <w:rsid w:val="005F494B"/>
    <w:rsid w:val="005F5696"/>
    <w:rsid w:val="005F5BFE"/>
    <w:rsid w:val="005F6296"/>
    <w:rsid w:val="005F70FC"/>
    <w:rsid w:val="005F7839"/>
    <w:rsid w:val="006000B1"/>
    <w:rsid w:val="0060044B"/>
    <w:rsid w:val="006006AC"/>
    <w:rsid w:val="0060121F"/>
    <w:rsid w:val="006015DA"/>
    <w:rsid w:val="006016EB"/>
    <w:rsid w:val="00601BB5"/>
    <w:rsid w:val="0060203E"/>
    <w:rsid w:val="006027FA"/>
    <w:rsid w:val="00602A9C"/>
    <w:rsid w:val="00602E43"/>
    <w:rsid w:val="006031FA"/>
    <w:rsid w:val="006036DB"/>
    <w:rsid w:val="006038F5"/>
    <w:rsid w:val="00603936"/>
    <w:rsid w:val="006044B3"/>
    <w:rsid w:val="006050C2"/>
    <w:rsid w:val="00605E0E"/>
    <w:rsid w:val="0060657E"/>
    <w:rsid w:val="006065C6"/>
    <w:rsid w:val="00606BDE"/>
    <w:rsid w:val="00607974"/>
    <w:rsid w:val="00607D55"/>
    <w:rsid w:val="00607EAA"/>
    <w:rsid w:val="006103A9"/>
    <w:rsid w:val="0061092C"/>
    <w:rsid w:val="00611EEE"/>
    <w:rsid w:val="0061216C"/>
    <w:rsid w:val="0061346D"/>
    <w:rsid w:val="00613C2E"/>
    <w:rsid w:val="00614526"/>
    <w:rsid w:val="00614A12"/>
    <w:rsid w:val="0061529B"/>
    <w:rsid w:val="0061542A"/>
    <w:rsid w:val="00616A91"/>
    <w:rsid w:val="00617A29"/>
    <w:rsid w:val="00617CB2"/>
    <w:rsid w:val="00620C7E"/>
    <w:rsid w:val="00620CDE"/>
    <w:rsid w:val="00620CE3"/>
    <w:rsid w:val="0062147E"/>
    <w:rsid w:val="0062149B"/>
    <w:rsid w:val="00622EF7"/>
    <w:rsid w:val="00622FE1"/>
    <w:rsid w:val="00623153"/>
    <w:rsid w:val="00623B2B"/>
    <w:rsid w:val="006240AF"/>
    <w:rsid w:val="00624AD0"/>
    <w:rsid w:val="00624FD3"/>
    <w:rsid w:val="00626699"/>
    <w:rsid w:val="00627CC2"/>
    <w:rsid w:val="00627E59"/>
    <w:rsid w:val="00630DA0"/>
    <w:rsid w:val="006312F5"/>
    <w:rsid w:val="0063164C"/>
    <w:rsid w:val="00631718"/>
    <w:rsid w:val="00632004"/>
    <w:rsid w:val="00632908"/>
    <w:rsid w:val="00632F66"/>
    <w:rsid w:val="00633A3B"/>
    <w:rsid w:val="00633FED"/>
    <w:rsid w:val="006378DE"/>
    <w:rsid w:val="00637CB1"/>
    <w:rsid w:val="00640EC0"/>
    <w:rsid w:val="0064123E"/>
    <w:rsid w:val="006414CD"/>
    <w:rsid w:val="00641E5F"/>
    <w:rsid w:val="0064281A"/>
    <w:rsid w:val="00642900"/>
    <w:rsid w:val="00643516"/>
    <w:rsid w:val="00643614"/>
    <w:rsid w:val="00643BB7"/>
    <w:rsid w:val="00646B6B"/>
    <w:rsid w:val="00646C40"/>
    <w:rsid w:val="0064712B"/>
    <w:rsid w:val="00647823"/>
    <w:rsid w:val="00647FBD"/>
    <w:rsid w:val="006521BB"/>
    <w:rsid w:val="0065265B"/>
    <w:rsid w:val="00652DBE"/>
    <w:rsid w:val="0065363A"/>
    <w:rsid w:val="00653650"/>
    <w:rsid w:val="00654A47"/>
    <w:rsid w:val="006552CD"/>
    <w:rsid w:val="00655D34"/>
    <w:rsid w:val="00655D86"/>
    <w:rsid w:val="00656126"/>
    <w:rsid w:val="00656904"/>
    <w:rsid w:val="00657274"/>
    <w:rsid w:val="00657EED"/>
    <w:rsid w:val="006617ED"/>
    <w:rsid w:val="00661F7E"/>
    <w:rsid w:val="006622BF"/>
    <w:rsid w:val="0066243B"/>
    <w:rsid w:val="00662981"/>
    <w:rsid w:val="00662D58"/>
    <w:rsid w:val="00662E7F"/>
    <w:rsid w:val="00663128"/>
    <w:rsid w:val="00663933"/>
    <w:rsid w:val="006645B5"/>
    <w:rsid w:val="00664B09"/>
    <w:rsid w:val="00664CEA"/>
    <w:rsid w:val="00664EC6"/>
    <w:rsid w:val="00665614"/>
    <w:rsid w:val="00665A28"/>
    <w:rsid w:val="00666235"/>
    <w:rsid w:val="006663D0"/>
    <w:rsid w:val="006678E3"/>
    <w:rsid w:val="00667EF6"/>
    <w:rsid w:val="006709C7"/>
    <w:rsid w:val="00670E10"/>
    <w:rsid w:val="00670E9D"/>
    <w:rsid w:val="00671614"/>
    <w:rsid w:val="0067175C"/>
    <w:rsid w:val="00671E03"/>
    <w:rsid w:val="0067209F"/>
    <w:rsid w:val="006726D7"/>
    <w:rsid w:val="00673B62"/>
    <w:rsid w:val="00674A0F"/>
    <w:rsid w:val="006762DC"/>
    <w:rsid w:val="006765BB"/>
    <w:rsid w:val="00676C25"/>
    <w:rsid w:val="006774C9"/>
    <w:rsid w:val="006806EA"/>
    <w:rsid w:val="00681B4A"/>
    <w:rsid w:val="00682182"/>
    <w:rsid w:val="00682A10"/>
    <w:rsid w:val="00682C13"/>
    <w:rsid w:val="00683E78"/>
    <w:rsid w:val="00685524"/>
    <w:rsid w:val="006859A0"/>
    <w:rsid w:val="00685D28"/>
    <w:rsid w:val="00685D3C"/>
    <w:rsid w:val="00685FD2"/>
    <w:rsid w:val="00686174"/>
    <w:rsid w:val="00686A14"/>
    <w:rsid w:val="00686AAD"/>
    <w:rsid w:val="006878DD"/>
    <w:rsid w:val="006912A2"/>
    <w:rsid w:val="00691451"/>
    <w:rsid w:val="006920CE"/>
    <w:rsid w:val="006921DE"/>
    <w:rsid w:val="00692DFF"/>
    <w:rsid w:val="00692EC7"/>
    <w:rsid w:val="0069353D"/>
    <w:rsid w:val="00693DFB"/>
    <w:rsid w:val="00695464"/>
    <w:rsid w:val="0069564A"/>
    <w:rsid w:val="00696143"/>
    <w:rsid w:val="0069660E"/>
    <w:rsid w:val="00696C1A"/>
    <w:rsid w:val="006971C5"/>
    <w:rsid w:val="006A0E49"/>
    <w:rsid w:val="006A14BA"/>
    <w:rsid w:val="006A187D"/>
    <w:rsid w:val="006A1A37"/>
    <w:rsid w:val="006A1F00"/>
    <w:rsid w:val="006A1F47"/>
    <w:rsid w:val="006A313C"/>
    <w:rsid w:val="006A3D73"/>
    <w:rsid w:val="006A4192"/>
    <w:rsid w:val="006A5129"/>
    <w:rsid w:val="006A5AEF"/>
    <w:rsid w:val="006A5DB3"/>
    <w:rsid w:val="006A6121"/>
    <w:rsid w:val="006A64F9"/>
    <w:rsid w:val="006A650F"/>
    <w:rsid w:val="006A65F3"/>
    <w:rsid w:val="006A69F2"/>
    <w:rsid w:val="006B028F"/>
    <w:rsid w:val="006B0F17"/>
    <w:rsid w:val="006B21E7"/>
    <w:rsid w:val="006B2302"/>
    <w:rsid w:val="006B2D8A"/>
    <w:rsid w:val="006B4FAC"/>
    <w:rsid w:val="006B53AF"/>
    <w:rsid w:val="006B691D"/>
    <w:rsid w:val="006B6C7E"/>
    <w:rsid w:val="006B795F"/>
    <w:rsid w:val="006B7970"/>
    <w:rsid w:val="006B7AFD"/>
    <w:rsid w:val="006B7DAD"/>
    <w:rsid w:val="006C0012"/>
    <w:rsid w:val="006C0103"/>
    <w:rsid w:val="006C05C8"/>
    <w:rsid w:val="006C09BA"/>
    <w:rsid w:val="006C0CE8"/>
    <w:rsid w:val="006C0FD6"/>
    <w:rsid w:val="006C103B"/>
    <w:rsid w:val="006C14D0"/>
    <w:rsid w:val="006C207D"/>
    <w:rsid w:val="006C401C"/>
    <w:rsid w:val="006C4B1C"/>
    <w:rsid w:val="006C53D2"/>
    <w:rsid w:val="006C6339"/>
    <w:rsid w:val="006C63C9"/>
    <w:rsid w:val="006C7BDD"/>
    <w:rsid w:val="006D0238"/>
    <w:rsid w:val="006D0295"/>
    <w:rsid w:val="006D0482"/>
    <w:rsid w:val="006D056E"/>
    <w:rsid w:val="006D064C"/>
    <w:rsid w:val="006D1499"/>
    <w:rsid w:val="006D1623"/>
    <w:rsid w:val="006D1F93"/>
    <w:rsid w:val="006D20A1"/>
    <w:rsid w:val="006D270A"/>
    <w:rsid w:val="006D2793"/>
    <w:rsid w:val="006D3462"/>
    <w:rsid w:val="006D365D"/>
    <w:rsid w:val="006D39E9"/>
    <w:rsid w:val="006D3CF6"/>
    <w:rsid w:val="006D3EDF"/>
    <w:rsid w:val="006D438B"/>
    <w:rsid w:val="006D5B7E"/>
    <w:rsid w:val="006D5E7F"/>
    <w:rsid w:val="006D6880"/>
    <w:rsid w:val="006D7136"/>
    <w:rsid w:val="006D715B"/>
    <w:rsid w:val="006D77C9"/>
    <w:rsid w:val="006E007D"/>
    <w:rsid w:val="006E057D"/>
    <w:rsid w:val="006E0AEF"/>
    <w:rsid w:val="006E0BFE"/>
    <w:rsid w:val="006E0EF8"/>
    <w:rsid w:val="006E2A65"/>
    <w:rsid w:val="006E38EF"/>
    <w:rsid w:val="006E39DD"/>
    <w:rsid w:val="006E456B"/>
    <w:rsid w:val="006E4D3E"/>
    <w:rsid w:val="006E53FB"/>
    <w:rsid w:val="006E54E7"/>
    <w:rsid w:val="006E667D"/>
    <w:rsid w:val="006E67F0"/>
    <w:rsid w:val="006E6843"/>
    <w:rsid w:val="006E6963"/>
    <w:rsid w:val="006E6D6D"/>
    <w:rsid w:val="006F0243"/>
    <w:rsid w:val="006F0395"/>
    <w:rsid w:val="006F1AA1"/>
    <w:rsid w:val="006F1BBC"/>
    <w:rsid w:val="006F2083"/>
    <w:rsid w:val="006F213E"/>
    <w:rsid w:val="006F24EB"/>
    <w:rsid w:val="006F2682"/>
    <w:rsid w:val="006F381A"/>
    <w:rsid w:val="006F55CD"/>
    <w:rsid w:val="006F56D5"/>
    <w:rsid w:val="006F57A0"/>
    <w:rsid w:val="006F5B6C"/>
    <w:rsid w:val="006F6053"/>
    <w:rsid w:val="006F62AE"/>
    <w:rsid w:val="006F6AA6"/>
    <w:rsid w:val="006F7BAC"/>
    <w:rsid w:val="0070011D"/>
    <w:rsid w:val="007003A8"/>
    <w:rsid w:val="00700571"/>
    <w:rsid w:val="007008D1"/>
    <w:rsid w:val="00701C06"/>
    <w:rsid w:val="00701DAF"/>
    <w:rsid w:val="0070200F"/>
    <w:rsid w:val="00702071"/>
    <w:rsid w:val="0070256D"/>
    <w:rsid w:val="007025EB"/>
    <w:rsid w:val="00702774"/>
    <w:rsid w:val="00702B0F"/>
    <w:rsid w:val="00705D9D"/>
    <w:rsid w:val="0070639A"/>
    <w:rsid w:val="00706574"/>
    <w:rsid w:val="0070683D"/>
    <w:rsid w:val="007073BE"/>
    <w:rsid w:val="00707525"/>
    <w:rsid w:val="0070796F"/>
    <w:rsid w:val="00707F75"/>
    <w:rsid w:val="00710051"/>
    <w:rsid w:val="00710874"/>
    <w:rsid w:val="00711926"/>
    <w:rsid w:val="00713C6A"/>
    <w:rsid w:val="00713E2F"/>
    <w:rsid w:val="00713E5D"/>
    <w:rsid w:val="0071494E"/>
    <w:rsid w:val="007149EB"/>
    <w:rsid w:val="007153CE"/>
    <w:rsid w:val="00715AA9"/>
    <w:rsid w:val="00715FF0"/>
    <w:rsid w:val="00716626"/>
    <w:rsid w:val="007169D1"/>
    <w:rsid w:val="00716B46"/>
    <w:rsid w:val="00717165"/>
    <w:rsid w:val="00717B6D"/>
    <w:rsid w:val="00717D07"/>
    <w:rsid w:val="00717D98"/>
    <w:rsid w:val="007200F3"/>
    <w:rsid w:val="00720573"/>
    <w:rsid w:val="00720622"/>
    <w:rsid w:val="007218D8"/>
    <w:rsid w:val="00721A20"/>
    <w:rsid w:val="007220CF"/>
    <w:rsid w:val="00722464"/>
    <w:rsid w:val="0072296B"/>
    <w:rsid w:val="00722BFE"/>
    <w:rsid w:val="00722C78"/>
    <w:rsid w:val="00722F58"/>
    <w:rsid w:val="00723599"/>
    <w:rsid w:val="00723B9B"/>
    <w:rsid w:val="00723C41"/>
    <w:rsid w:val="007240C2"/>
    <w:rsid w:val="007241BB"/>
    <w:rsid w:val="00724E94"/>
    <w:rsid w:val="00725FAE"/>
    <w:rsid w:val="00731C3F"/>
    <w:rsid w:val="00731E6E"/>
    <w:rsid w:val="00732E0A"/>
    <w:rsid w:val="00735C0D"/>
    <w:rsid w:val="007362FC"/>
    <w:rsid w:val="0073737A"/>
    <w:rsid w:val="00737702"/>
    <w:rsid w:val="00737766"/>
    <w:rsid w:val="00741527"/>
    <w:rsid w:val="00741D9F"/>
    <w:rsid w:val="0074208E"/>
    <w:rsid w:val="007422AF"/>
    <w:rsid w:val="00742319"/>
    <w:rsid w:val="007427BB"/>
    <w:rsid w:val="0074405D"/>
    <w:rsid w:val="007456DE"/>
    <w:rsid w:val="00745A8B"/>
    <w:rsid w:val="00746B8E"/>
    <w:rsid w:val="00746D6A"/>
    <w:rsid w:val="00750B2C"/>
    <w:rsid w:val="00750C8C"/>
    <w:rsid w:val="00751906"/>
    <w:rsid w:val="00752C9D"/>
    <w:rsid w:val="0075315E"/>
    <w:rsid w:val="0075397C"/>
    <w:rsid w:val="00753A2A"/>
    <w:rsid w:val="00753CF3"/>
    <w:rsid w:val="00753F95"/>
    <w:rsid w:val="007541CB"/>
    <w:rsid w:val="00754257"/>
    <w:rsid w:val="007547E2"/>
    <w:rsid w:val="00755166"/>
    <w:rsid w:val="007551C9"/>
    <w:rsid w:val="00755F5D"/>
    <w:rsid w:val="00756296"/>
    <w:rsid w:val="007566E0"/>
    <w:rsid w:val="0076026C"/>
    <w:rsid w:val="00760513"/>
    <w:rsid w:val="00760630"/>
    <w:rsid w:val="00760C8D"/>
    <w:rsid w:val="00761B94"/>
    <w:rsid w:val="00761D2F"/>
    <w:rsid w:val="007636B4"/>
    <w:rsid w:val="007643BA"/>
    <w:rsid w:val="00764FB7"/>
    <w:rsid w:val="007650FF"/>
    <w:rsid w:val="007653DA"/>
    <w:rsid w:val="0076587C"/>
    <w:rsid w:val="007658A5"/>
    <w:rsid w:val="00765C39"/>
    <w:rsid w:val="00766C1E"/>
    <w:rsid w:val="00767555"/>
    <w:rsid w:val="007705F6"/>
    <w:rsid w:val="00770AEC"/>
    <w:rsid w:val="00771026"/>
    <w:rsid w:val="007711DA"/>
    <w:rsid w:val="00771786"/>
    <w:rsid w:val="007724FB"/>
    <w:rsid w:val="00772C1F"/>
    <w:rsid w:val="007733C7"/>
    <w:rsid w:val="007736D3"/>
    <w:rsid w:val="00774720"/>
    <w:rsid w:val="00774AB8"/>
    <w:rsid w:val="00774F08"/>
    <w:rsid w:val="00774F69"/>
    <w:rsid w:val="00775159"/>
    <w:rsid w:val="007752D7"/>
    <w:rsid w:val="00775BFE"/>
    <w:rsid w:val="007761F1"/>
    <w:rsid w:val="00776936"/>
    <w:rsid w:val="00776BC1"/>
    <w:rsid w:val="007778A9"/>
    <w:rsid w:val="00780179"/>
    <w:rsid w:val="00780C2B"/>
    <w:rsid w:val="00781947"/>
    <w:rsid w:val="007823B8"/>
    <w:rsid w:val="0078308C"/>
    <w:rsid w:val="007838D9"/>
    <w:rsid w:val="007842EB"/>
    <w:rsid w:val="007844D0"/>
    <w:rsid w:val="007850A2"/>
    <w:rsid w:val="00786BB1"/>
    <w:rsid w:val="00787504"/>
    <w:rsid w:val="007879B6"/>
    <w:rsid w:val="00790E43"/>
    <w:rsid w:val="00791333"/>
    <w:rsid w:val="007928F6"/>
    <w:rsid w:val="00792DED"/>
    <w:rsid w:val="00793DD8"/>
    <w:rsid w:val="00794529"/>
    <w:rsid w:val="0079478A"/>
    <w:rsid w:val="00794E81"/>
    <w:rsid w:val="0079553C"/>
    <w:rsid w:val="00796865"/>
    <w:rsid w:val="0079777E"/>
    <w:rsid w:val="007A0042"/>
    <w:rsid w:val="007A1628"/>
    <w:rsid w:val="007A18EA"/>
    <w:rsid w:val="007A1FFC"/>
    <w:rsid w:val="007A2570"/>
    <w:rsid w:val="007A4854"/>
    <w:rsid w:val="007A514E"/>
    <w:rsid w:val="007A5EF5"/>
    <w:rsid w:val="007A63B8"/>
    <w:rsid w:val="007A6D73"/>
    <w:rsid w:val="007A741B"/>
    <w:rsid w:val="007B01AE"/>
    <w:rsid w:val="007B0918"/>
    <w:rsid w:val="007B0AA8"/>
    <w:rsid w:val="007B2249"/>
    <w:rsid w:val="007B25C2"/>
    <w:rsid w:val="007B2E33"/>
    <w:rsid w:val="007B3275"/>
    <w:rsid w:val="007B5263"/>
    <w:rsid w:val="007B542D"/>
    <w:rsid w:val="007B5B9B"/>
    <w:rsid w:val="007B5E17"/>
    <w:rsid w:val="007B6207"/>
    <w:rsid w:val="007B6CE7"/>
    <w:rsid w:val="007B6F1A"/>
    <w:rsid w:val="007B7896"/>
    <w:rsid w:val="007B7E30"/>
    <w:rsid w:val="007C01D0"/>
    <w:rsid w:val="007C04DA"/>
    <w:rsid w:val="007C0A47"/>
    <w:rsid w:val="007C0DC1"/>
    <w:rsid w:val="007C121B"/>
    <w:rsid w:val="007C1363"/>
    <w:rsid w:val="007C1FD6"/>
    <w:rsid w:val="007C2261"/>
    <w:rsid w:val="007C27CF"/>
    <w:rsid w:val="007C33D7"/>
    <w:rsid w:val="007C3C26"/>
    <w:rsid w:val="007C51AE"/>
    <w:rsid w:val="007C63B6"/>
    <w:rsid w:val="007C7302"/>
    <w:rsid w:val="007D0F14"/>
    <w:rsid w:val="007D17A3"/>
    <w:rsid w:val="007D1906"/>
    <w:rsid w:val="007D1C1F"/>
    <w:rsid w:val="007D2D43"/>
    <w:rsid w:val="007D3323"/>
    <w:rsid w:val="007D33F5"/>
    <w:rsid w:val="007D4A55"/>
    <w:rsid w:val="007D58F0"/>
    <w:rsid w:val="007D5A65"/>
    <w:rsid w:val="007D64D3"/>
    <w:rsid w:val="007D65B8"/>
    <w:rsid w:val="007D6927"/>
    <w:rsid w:val="007D72E5"/>
    <w:rsid w:val="007D72FE"/>
    <w:rsid w:val="007D7B96"/>
    <w:rsid w:val="007E0463"/>
    <w:rsid w:val="007E0A4E"/>
    <w:rsid w:val="007E0A8B"/>
    <w:rsid w:val="007E0F06"/>
    <w:rsid w:val="007E196F"/>
    <w:rsid w:val="007E2F8D"/>
    <w:rsid w:val="007E3D93"/>
    <w:rsid w:val="007E4483"/>
    <w:rsid w:val="007E56CF"/>
    <w:rsid w:val="007E59A1"/>
    <w:rsid w:val="007E5D89"/>
    <w:rsid w:val="007E63A4"/>
    <w:rsid w:val="007E657A"/>
    <w:rsid w:val="007E6591"/>
    <w:rsid w:val="007E6E4A"/>
    <w:rsid w:val="007E748F"/>
    <w:rsid w:val="007E779E"/>
    <w:rsid w:val="007F0A14"/>
    <w:rsid w:val="007F17AA"/>
    <w:rsid w:val="007F2010"/>
    <w:rsid w:val="007F2280"/>
    <w:rsid w:val="007F3E9E"/>
    <w:rsid w:val="007F48A4"/>
    <w:rsid w:val="007F4ECB"/>
    <w:rsid w:val="007F604B"/>
    <w:rsid w:val="007F6C44"/>
    <w:rsid w:val="007F78B6"/>
    <w:rsid w:val="0080034D"/>
    <w:rsid w:val="008019AF"/>
    <w:rsid w:val="00801C96"/>
    <w:rsid w:val="008024E8"/>
    <w:rsid w:val="00802E6D"/>
    <w:rsid w:val="00803529"/>
    <w:rsid w:val="008038E2"/>
    <w:rsid w:val="00805DB3"/>
    <w:rsid w:val="008065AE"/>
    <w:rsid w:val="00806FD6"/>
    <w:rsid w:val="0080755D"/>
    <w:rsid w:val="008079EA"/>
    <w:rsid w:val="0081073B"/>
    <w:rsid w:val="008107BE"/>
    <w:rsid w:val="00811947"/>
    <w:rsid w:val="00811C10"/>
    <w:rsid w:val="008120E9"/>
    <w:rsid w:val="00812327"/>
    <w:rsid w:val="0081291F"/>
    <w:rsid w:val="00812CA5"/>
    <w:rsid w:val="00812CFA"/>
    <w:rsid w:val="00813A07"/>
    <w:rsid w:val="00813A66"/>
    <w:rsid w:val="00814A35"/>
    <w:rsid w:val="00814D94"/>
    <w:rsid w:val="00814DCA"/>
    <w:rsid w:val="008150A3"/>
    <w:rsid w:val="00815393"/>
    <w:rsid w:val="00815F62"/>
    <w:rsid w:val="00816646"/>
    <w:rsid w:val="008166CC"/>
    <w:rsid w:val="00816809"/>
    <w:rsid w:val="0081746D"/>
    <w:rsid w:val="00817A36"/>
    <w:rsid w:val="0082060A"/>
    <w:rsid w:val="008207F0"/>
    <w:rsid w:val="00820AD9"/>
    <w:rsid w:val="00821155"/>
    <w:rsid w:val="00821408"/>
    <w:rsid w:val="008215BB"/>
    <w:rsid w:val="008216BE"/>
    <w:rsid w:val="00822624"/>
    <w:rsid w:val="00822683"/>
    <w:rsid w:val="008226BE"/>
    <w:rsid w:val="00822FDF"/>
    <w:rsid w:val="00823324"/>
    <w:rsid w:val="008239A2"/>
    <w:rsid w:val="00825C17"/>
    <w:rsid w:val="00825E04"/>
    <w:rsid w:val="008306CC"/>
    <w:rsid w:val="008306D7"/>
    <w:rsid w:val="008310B1"/>
    <w:rsid w:val="008311A2"/>
    <w:rsid w:val="0083190E"/>
    <w:rsid w:val="00831923"/>
    <w:rsid w:val="008320F7"/>
    <w:rsid w:val="00832206"/>
    <w:rsid w:val="00833ADB"/>
    <w:rsid w:val="00833F68"/>
    <w:rsid w:val="00834E01"/>
    <w:rsid w:val="008350A5"/>
    <w:rsid w:val="0083526D"/>
    <w:rsid w:val="008352F6"/>
    <w:rsid w:val="00836E10"/>
    <w:rsid w:val="00837B11"/>
    <w:rsid w:val="00837C69"/>
    <w:rsid w:val="00837CFD"/>
    <w:rsid w:val="00840089"/>
    <w:rsid w:val="008406E5"/>
    <w:rsid w:val="00840736"/>
    <w:rsid w:val="00840EB9"/>
    <w:rsid w:val="008425C8"/>
    <w:rsid w:val="0084377C"/>
    <w:rsid w:val="00843A53"/>
    <w:rsid w:val="00843BE7"/>
    <w:rsid w:val="00844816"/>
    <w:rsid w:val="008449C0"/>
    <w:rsid w:val="00845657"/>
    <w:rsid w:val="008459C4"/>
    <w:rsid w:val="00846F77"/>
    <w:rsid w:val="0084777A"/>
    <w:rsid w:val="00847C5B"/>
    <w:rsid w:val="00847D27"/>
    <w:rsid w:val="00850A18"/>
    <w:rsid w:val="00851161"/>
    <w:rsid w:val="008516E7"/>
    <w:rsid w:val="00851D9C"/>
    <w:rsid w:val="00851F07"/>
    <w:rsid w:val="0085208A"/>
    <w:rsid w:val="008522F9"/>
    <w:rsid w:val="0085288D"/>
    <w:rsid w:val="00852AD7"/>
    <w:rsid w:val="008531A7"/>
    <w:rsid w:val="008534BD"/>
    <w:rsid w:val="0085509C"/>
    <w:rsid w:val="00855B6C"/>
    <w:rsid w:val="00855D77"/>
    <w:rsid w:val="00856255"/>
    <w:rsid w:val="00856712"/>
    <w:rsid w:val="00857768"/>
    <w:rsid w:val="00857C2C"/>
    <w:rsid w:val="00857E58"/>
    <w:rsid w:val="0086006A"/>
    <w:rsid w:val="00861206"/>
    <w:rsid w:val="00861CF4"/>
    <w:rsid w:val="0086240C"/>
    <w:rsid w:val="0086287E"/>
    <w:rsid w:val="00864CCC"/>
    <w:rsid w:val="00866013"/>
    <w:rsid w:val="0086605B"/>
    <w:rsid w:val="0086647B"/>
    <w:rsid w:val="008666B6"/>
    <w:rsid w:val="00866F53"/>
    <w:rsid w:val="00866F9D"/>
    <w:rsid w:val="00867524"/>
    <w:rsid w:val="00867613"/>
    <w:rsid w:val="00870416"/>
    <w:rsid w:val="008719B8"/>
    <w:rsid w:val="00871E54"/>
    <w:rsid w:val="00872247"/>
    <w:rsid w:val="0087242D"/>
    <w:rsid w:val="008728FB"/>
    <w:rsid w:val="008731B5"/>
    <w:rsid w:val="00873407"/>
    <w:rsid w:val="00873998"/>
    <w:rsid w:val="0087400F"/>
    <w:rsid w:val="008744D5"/>
    <w:rsid w:val="00874507"/>
    <w:rsid w:val="00874E49"/>
    <w:rsid w:val="00875416"/>
    <w:rsid w:val="0087590A"/>
    <w:rsid w:val="00875929"/>
    <w:rsid w:val="00877D71"/>
    <w:rsid w:val="00877FE5"/>
    <w:rsid w:val="00880744"/>
    <w:rsid w:val="008807CC"/>
    <w:rsid w:val="008833F5"/>
    <w:rsid w:val="008835C6"/>
    <w:rsid w:val="00883B14"/>
    <w:rsid w:val="00884190"/>
    <w:rsid w:val="0088425E"/>
    <w:rsid w:val="0088513B"/>
    <w:rsid w:val="008867F6"/>
    <w:rsid w:val="00886E37"/>
    <w:rsid w:val="0088781D"/>
    <w:rsid w:val="008879A8"/>
    <w:rsid w:val="00887B1F"/>
    <w:rsid w:val="00887DBA"/>
    <w:rsid w:val="00890A73"/>
    <w:rsid w:val="00890D8C"/>
    <w:rsid w:val="00891840"/>
    <w:rsid w:val="00891B77"/>
    <w:rsid w:val="00891F44"/>
    <w:rsid w:val="00891FBB"/>
    <w:rsid w:val="008920CE"/>
    <w:rsid w:val="0089246D"/>
    <w:rsid w:val="008926F6"/>
    <w:rsid w:val="00892DDE"/>
    <w:rsid w:val="0089386C"/>
    <w:rsid w:val="008939EA"/>
    <w:rsid w:val="00895A12"/>
    <w:rsid w:val="00895F5A"/>
    <w:rsid w:val="00896F02"/>
    <w:rsid w:val="00896F0D"/>
    <w:rsid w:val="008971E9"/>
    <w:rsid w:val="00897A48"/>
    <w:rsid w:val="00897C2E"/>
    <w:rsid w:val="008A151C"/>
    <w:rsid w:val="008A1C26"/>
    <w:rsid w:val="008A2187"/>
    <w:rsid w:val="008A3AB8"/>
    <w:rsid w:val="008A52C0"/>
    <w:rsid w:val="008A59E9"/>
    <w:rsid w:val="008A6009"/>
    <w:rsid w:val="008A6D26"/>
    <w:rsid w:val="008B051C"/>
    <w:rsid w:val="008B0C28"/>
    <w:rsid w:val="008B1106"/>
    <w:rsid w:val="008B11FC"/>
    <w:rsid w:val="008B1670"/>
    <w:rsid w:val="008B189C"/>
    <w:rsid w:val="008B2950"/>
    <w:rsid w:val="008B2E01"/>
    <w:rsid w:val="008B2FD0"/>
    <w:rsid w:val="008B41ED"/>
    <w:rsid w:val="008B600C"/>
    <w:rsid w:val="008B6922"/>
    <w:rsid w:val="008B6EBB"/>
    <w:rsid w:val="008C08F8"/>
    <w:rsid w:val="008C152E"/>
    <w:rsid w:val="008C1BC1"/>
    <w:rsid w:val="008C30F2"/>
    <w:rsid w:val="008C31FD"/>
    <w:rsid w:val="008C4625"/>
    <w:rsid w:val="008C4D7B"/>
    <w:rsid w:val="008C4F8A"/>
    <w:rsid w:val="008C5744"/>
    <w:rsid w:val="008C6368"/>
    <w:rsid w:val="008C6580"/>
    <w:rsid w:val="008C6D0F"/>
    <w:rsid w:val="008C720A"/>
    <w:rsid w:val="008C73B3"/>
    <w:rsid w:val="008C7939"/>
    <w:rsid w:val="008D081E"/>
    <w:rsid w:val="008D11E3"/>
    <w:rsid w:val="008D19D6"/>
    <w:rsid w:val="008D1DD1"/>
    <w:rsid w:val="008D2638"/>
    <w:rsid w:val="008D35B1"/>
    <w:rsid w:val="008D35B6"/>
    <w:rsid w:val="008D3694"/>
    <w:rsid w:val="008D3887"/>
    <w:rsid w:val="008D4E66"/>
    <w:rsid w:val="008D69AF"/>
    <w:rsid w:val="008D710A"/>
    <w:rsid w:val="008D7305"/>
    <w:rsid w:val="008D75E8"/>
    <w:rsid w:val="008D780E"/>
    <w:rsid w:val="008D7BA6"/>
    <w:rsid w:val="008E0212"/>
    <w:rsid w:val="008E0795"/>
    <w:rsid w:val="008E07E1"/>
    <w:rsid w:val="008E12C2"/>
    <w:rsid w:val="008E15F2"/>
    <w:rsid w:val="008E179D"/>
    <w:rsid w:val="008E31F6"/>
    <w:rsid w:val="008E3E9B"/>
    <w:rsid w:val="008E46DB"/>
    <w:rsid w:val="008E4E65"/>
    <w:rsid w:val="008E4ECF"/>
    <w:rsid w:val="008E58D1"/>
    <w:rsid w:val="008E6E22"/>
    <w:rsid w:val="008E748C"/>
    <w:rsid w:val="008E7634"/>
    <w:rsid w:val="008E785F"/>
    <w:rsid w:val="008E7B19"/>
    <w:rsid w:val="008F0306"/>
    <w:rsid w:val="008F05A6"/>
    <w:rsid w:val="008F157A"/>
    <w:rsid w:val="008F17E0"/>
    <w:rsid w:val="008F189B"/>
    <w:rsid w:val="008F1E3F"/>
    <w:rsid w:val="008F1F3F"/>
    <w:rsid w:val="008F22DE"/>
    <w:rsid w:val="008F28FA"/>
    <w:rsid w:val="008F2E55"/>
    <w:rsid w:val="008F2F73"/>
    <w:rsid w:val="008F3277"/>
    <w:rsid w:val="008F3957"/>
    <w:rsid w:val="008F513B"/>
    <w:rsid w:val="008F6375"/>
    <w:rsid w:val="008F6546"/>
    <w:rsid w:val="008F7DB5"/>
    <w:rsid w:val="0090067D"/>
    <w:rsid w:val="00900AA0"/>
    <w:rsid w:val="00900FCA"/>
    <w:rsid w:val="00901513"/>
    <w:rsid w:val="0090177E"/>
    <w:rsid w:val="00901E10"/>
    <w:rsid w:val="00903163"/>
    <w:rsid w:val="009039CF"/>
    <w:rsid w:val="00903ED3"/>
    <w:rsid w:val="00904A22"/>
    <w:rsid w:val="00904A9D"/>
    <w:rsid w:val="00904E69"/>
    <w:rsid w:val="00904FBC"/>
    <w:rsid w:val="00905E45"/>
    <w:rsid w:val="00905FDC"/>
    <w:rsid w:val="009063A8"/>
    <w:rsid w:val="00906BA1"/>
    <w:rsid w:val="009074CF"/>
    <w:rsid w:val="00907A47"/>
    <w:rsid w:val="00907C46"/>
    <w:rsid w:val="00907D1A"/>
    <w:rsid w:val="009102F2"/>
    <w:rsid w:val="00910967"/>
    <w:rsid w:val="00911EAD"/>
    <w:rsid w:val="00911EEA"/>
    <w:rsid w:val="00912078"/>
    <w:rsid w:val="00912092"/>
    <w:rsid w:val="00912792"/>
    <w:rsid w:val="00913A19"/>
    <w:rsid w:val="00913AA0"/>
    <w:rsid w:val="00913B58"/>
    <w:rsid w:val="00913C60"/>
    <w:rsid w:val="00913EFC"/>
    <w:rsid w:val="0091466C"/>
    <w:rsid w:val="00916030"/>
    <w:rsid w:val="00920D2E"/>
    <w:rsid w:val="009216C5"/>
    <w:rsid w:val="00921716"/>
    <w:rsid w:val="00922538"/>
    <w:rsid w:val="009235F6"/>
    <w:rsid w:val="00923D88"/>
    <w:rsid w:val="00924B5B"/>
    <w:rsid w:val="00924DC8"/>
    <w:rsid w:val="00924F42"/>
    <w:rsid w:val="0092513F"/>
    <w:rsid w:val="00925570"/>
    <w:rsid w:val="0092636F"/>
    <w:rsid w:val="00927561"/>
    <w:rsid w:val="00927B1D"/>
    <w:rsid w:val="0093096C"/>
    <w:rsid w:val="00931B31"/>
    <w:rsid w:val="00932557"/>
    <w:rsid w:val="00932563"/>
    <w:rsid w:val="00932FAB"/>
    <w:rsid w:val="00934819"/>
    <w:rsid w:val="00934ACC"/>
    <w:rsid w:val="00934B94"/>
    <w:rsid w:val="00935FE6"/>
    <w:rsid w:val="0093633C"/>
    <w:rsid w:val="00936BF1"/>
    <w:rsid w:val="00937B8D"/>
    <w:rsid w:val="009409C4"/>
    <w:rsid w:val="00941303"/>
    <w:rsid w:val="0094162A"/>
    <w:rsid w:val="00941B18"/>
    <w:rsid w:val="00943222"/>
    <w:rsid w:val="00943D9F"/>
    <w:rsid w:val="0094463E"/>
    <w:rsid w:val="00944C54"/>
    <w:rsid w:val="009459F7"/>
    <w:rsid w:val="0094673F"/>
    <w:rsid w:val="00946994"/>
    <w:rsid w:val="00946E4D"/>
    <w:rsid w:val="00947D97"/>
    <w:rsid w:val="0095017C"/>
    <w:rsid w:val="00951033"/>
    <w:rsid w:val="00951CB2"/>
    <w:rsid w:val="0095253B"/>
    <w:rsid w:val="00952882"/>
    <w:rsid w:val="00952A8D"/>
    <w:rsid w:val="009531FC"/>
    <w:rsid w:val="00953685"/>
    <w:rsid w:val="00953BD6"/>
    <w:rsid w:val="009540CB"/>
    <w:rsid w:val="00954F9C"/>
    <w:rsid w:val="00955C43"/>
    <w:rsid w:val="00956D7C"/>
    <w:rsid w:val="009572AA"/>
    <w:rsid w:val="009579C0"/>
    <w:rsid w:val="00957DE1"/>
    <w:rsid w:val="00960DB7"/>
    <w:rsid w:val="00962020"/>
    <w:rsid w:val="00962A0C"/>
    <w:rsid w:val="00962B08"/>
    <w:rsid w:val="00963553"/>
    <w:rsid w:val="009635F0"/>
    <w:rsid w:val="009648F8"/>
    <w:rsid w:val="0096592F"/>
    <w:rsid w:val="0096709D"/>
    <w:rsid w:val="00967994"/>
    <w:rsid w:val="00970FD9"/>
    <w:rsid w:val="009715E5"/>
    <w:rsid w:val="009716F6"/>
    <w:rsid w:val="00971978"/>
    <w:rsid w:val="00971A11"/>
    <w:rsid w:val="00972FA3"/>
    <w:rsid w:val="00972FD8"/>
    <w:rsid w:val="00973298"/>
    <w:rsid w:val="009736B2"/>
    <w:rsid w:val="00980F32"/>
    <w:rsid w:val="0098133F"/>
    <w:rsid w:val="0098149F"/>
    <w:rsid w:val="009822AE"/>
    <w:rsid w:val="009823BE"/>
    <w:rsid w:val="009826A3"/>
    <w:rsid w:val="009829B1"/>
    <w:rsid w:val="009830E8"/>
    <w:rsid w:val="00984C78"/>
    <w:rsid w:val="009852C4"/>
    <w:rsid w:val="009857BE"/>
    <w:rsid w:val="00986F54"/>
    <w:rsid w:val="0098747B"/>
    <w:rsid w:val="0099074B"/>
    <w:rsid w:val="00991657"/>
    <w:rsid w:val="00991748"/>
    <w:rsid w:val="0099214C"/>
    <w:rsid w:val="0099278F"/>
    <w:rsid w:val="0099315B"/>
    <w:rsid w:val="00994C3C"/>
    <w:rsid w:val="00996B94"/>
    <w:rsid w:val="00996C37"/>
    <w:rsid w:val="009977A2"/>
    <w:rsid w:val="00997B91"/>
    <w:rsid w:val="009A0611"/>
    <w:rsid w:val="009A0A5B"/>
    <w:rsid w:val="009A0ECE"/>
    <w:rsid w:val="009A1ACC"/>
    <w:rsid w:val="009A21D8"/>
    <w:rsid w:val="009A2CCB"/>
    <w:rsid w:val="009A6D7E"/>
    <w:rsid w:val="009A6F9E"/>
    <w:rsid w:val="009A719B"/>
    <w:rsid w:val="009B1B93"/>
    <w:rsid w:val="009B1D02"/>
    <w:rsid w:val="009B21AB"/>
    <w:rsid w:val="009B281B"/>
    <w:rsid w:val="009B2A60"/>
    <w:rsid w:val="009B328B"/>
    <w:rsid w:val="009B3426"/>
    <w:rsid w:val="009B3A4A"/>
    <w:rsid w:val="009B491F"/>
    <w:rsid w:val="009B5DEA"/>
    <w:rsid w:val="009B5EE1"/>
    <w:rsid w:val="009B5FC9"/>
    <w:rsid w:val="009B6C27"/>
    <w:rsid w:val="009B6C7B"/>
    <w:rsid w:val="009C02D0"/>
    <w:rsid w:val="009C04DE"/>
    <w:rsid w:val="009C09C1"/>
    <w:rsid w:val="009C2314"/>
    <w:rsid w:val="009C266D"/>
    <w:rsid w:val="009C4224"/>
    <w:rsid w:val="009C4743"/>
    <w:rsid w:val="009C481C"/>
    <w:rsid w:val="009C5553"/>
    <w:rsid w:val="009C5BA9"/>
    <w:rsid w:val="009C5DC9"/>
    <w:rsid w:val="009C6205"/>
    <w:rsid w:val="009C65B4"/>
    <w:rsid w:val="009D058F"/>
    <w:rsid w:val="009D1069"/>
    <w:rsid w:val="009D11AD"/>
    <w:rsid w:val="009D1585"/>
    <w:rsid w:val="009D1B03"/>
    <w:rsid w:val="009D20A1"/>
    <w:rsid w:val="009D24FD"/>
    <w:rsid w:val="009D275D"/>
    <w:rsid w:val="009D29CF"/>
    <w:rsid w:val="009D316C"/>
    <w:rsid w:val="009D3E82"/>
    <w:rsid w:val="009D4387"/>
    <w:rsid w:val="009D4A9B"/>
    <w:rsid w:val="009D5914"/>
    <w:rsid w:val="009D6631"/>
    <w:rsid w:val="009D6944"/>
    <w:rsid w:val="009D77E6"/>
    <w:rsid w:val="009E0A49"/>
    <w:rsid w:val="009E1CE3"/>
    <w:rsid w:val="009E24CC"/>
    <w:rsid w:val="009E385F"/>
    <w:rsid w:val="009E402E"/>
    <w:rsid w:val="009E46E7"/>
    <w:rsid w:val="009E4984"/>
    <w:rsid w:val="009E53B8"/>
    <w:rsid w:val="009E53F7"/>
    <w:rsid w:val="009E5EF8"/>
    <w:rsid w:val="009E71A7"/>
    <w:rsid w:val="009E7B04"/>
    <w:rsid w:val="009E7DC3"/>
    <w:rsid w:val="009F0856"/>
    <w:rsid w:val="009F0ED6"/>
    <w:rsid w:val="009F1073"/>
    <w:rsid w:val="009F11CF"/>
    <w:rsid w:val="009F19E1"/>
    <w:rsid w:val="009F3137"/>
    <w:rsid w:val="009F3C14"/>
    <w:rsid w:val="009F406C"/>
    <w:rsid w:val="009F6148"/>
    <w:rsid w:val="009F7667"/>
    <w:rsid w:val="009F7866"/>
    <w:rsid w:val="009F7D2D"/>
    <w:rsid w:val="009F7F97"/>
    <w:rsid w:val="00A01656"/>
    <w:rsid w:val="00A034E3"/>
    <w:rsid w:val="00A041FE"/>
    <w:rsid w:val="00A04B81"/>
    <w:rsid w:val="00A055CE"/>
    <w:rsid w:val="00A0590C"/>
    <w:rsid w:val="00A05B77"/>
    <w:rsid w:val="00A05E4C"/>
    <w:rsid w:val="00A0631E"/>
    <w:rsid w:val="00A06875"/>
    <w:rsid w:val="00A100D6"/>
    <w:rsid w:val="00A102C2"/>
    <w:rsid w:val="00A11648"/>
    <w:rsid w:val="00A11F79"/>
    <w:rsid w:val="00A12830"/>
    <w:rsid w:val="00A12B0D"/>
    <w:rsid w:val="00A12DD8"/>
    <w:rsid w:val="00A12E84"/>
    <w:rsid w:val="00A13B17"/>
    <w:rsid w:val="00A144D0"/>
    <w:rsid w:val="00A14B11"/>
    <w:rsid w:val="00A16543"/>
    <w:rsid w:val="00A16715"/>
    <w:rsid w:val="00A16CF9"/>
    <w:rsid w:val="00A173BF"/>
    <w:rsid w:val="00A2096D"/>
    <w:rsid w:val="00A20C06"/>
    <w:rsid w:val="00A20E02"/>
    <w:rsid w:val="00A22C35"/>
    <w:rsid w:val="00A23093"/>
    <w:rsid w:val="00A241BA"/>
    <w:rsid w:val="00A24852"/>
    <w:rsid w:val="00A26366"/>
    <w:rsid w:val="00A26815"/>
    <w:rsid w:val="00A2689E"/>
    <w:rsid w:val="00A26931"/>
    <w:rsid w:val="00A26B78"/>
    <w:rsid w:val="00A270D0"/>
    <w:rsid w:val="00A27A35"/>
    <w:rsid w:val="00A303DE"/>
    <w:rsid w:val="00A30733"/>
    <w:rsid w:val="00A30A8C"/>
    <w:rsid w:val="00A30D5F"/>
    <w:rsid w:val="00A312EF"/>
    <w:rsid w:val="00A31419"/>
    <w:rsid w:val="00A33075"/>
    <w:rsid w:val="00A33895"/>
    <w:rsid w:val="00A33AF9"/>
    <w:rsid w:val="00A33BC6"/>
    <w:rsid w:val="00A344E6"/>
    <w:rsid w:val="00A355D9"/>
    <w:rsid w:val="00A35643"/>
    <w:rsid w:val="00A35E2F"/>
    <w:rsid w:val="00A35EDE"/>
    <w:rsid w:val="00A365D7"/>
    <w:rsid w:val="00A369DA"/>
    <w:rsid w:val="00A37DCC"/>
    <w:rsid w:val="00A40732"/>
    <w:rsid w:val="00A41377"/>
    <w:rsid w:val="00A41B82"/>
    <w:rsid w:val="00A41E80"/>
    <w:rsid w:val="00A4207F"/>
    <w:rsid w:val="00A44060"/>
    <w:rsid w:val="00A443F2"/>
    <w:rsid w:val="00A45034"/>
    <w:rsid w:val="00A451D6"/>
    <w:rsid w:val="00A459C9"/>
    <w:rsid w:val="00A46FD2"/>
    <w:rsid w:val="00A472BA"/>
    <w:rsid w:val="00A47C45"/>
    <w:rsid w:val="00A50A91"/>
    <w:rsid w:val="00A50EA1"/>
    <w:rsid w:val="00A51E59"/>
    <w:rsid w:val="00A51FEB"/>
    <w:rsid w:val="00A526F5"/>
    <w:rsid w:val="00A52A78"/>
    <w:rsid w:val="00A52BE4"/>
    <w:rsid w:val="00A53D8D"/>
    <w:rsid w:val="00A53E95"/>
    <w:rsid w:val="00A54444"/>
    <w:rsid w:val="00A546E1"/>
    <w:rsid w:val="00A54ADB"/>
    <w:rsid w:val="00A54CFB"/>
    <w:rsid w:val="00A54EA7"/>
    <w:rsid w:val="00A55116"/>
    <w:rsid w:val="00A55242"/>
    <w:rsid w:val="00A55B72"/>
    <w:rsid w:val="00A56C9B"/>
    <w:rsid w:val="00A57055"/>
    <w:rsid w:val="00A5706A"/>
    <w:rsid w:val="00A57169"/>
    <w:rsid w:val="00A607BF"/>
    <w:rsid w:val="00A60DD5"/>
    <w:rsid w:val="00A61A97"/>
    <w:rsid w:val="00A61B21"/>
    <w:rsid w:val="00A6291C"/>
    <w:rsid w:val="00A62AD9"/>
    <w:rsid w:val="00A63809"/>
    <w:rsid w:val="00A6473B"/>
    <w:rsid w:val="00A64BC0"/>
    <w:rsid w:val="00A655F7"/>
    <w:rsid w:val="00A65AA8"/>
    <w:rsid w:val="00A65B4A"/>
    <w:rsid w:val="00A663C9"/>
    <w:rsid w:val="00A66BA0"/>
    <w:rsid w:val="00A70580"/>
    <w:rsid w:val="00A706A0"/>
    <w:rsid w:val="00A70FA0"/>
    <w:rsid w:val="00A710FC"/>
    <w:rsid w:val="00A72570"/>
    <w:rsid w:val="00A733AD"/>
    <w:rsid w:val="00A73DD4"/>
    <w:rsid w:val="00A73EA5"/>
    <w:rsid w:val="00A7549C"/>
    <w:rsid w:val="00A75C53"/>
    <w:rsid w:val="00A76567"/>
    <w:rsid w:val="00A76C77"/>
    <w:rsid w:val="00A76D8F"/>
    <w:rsid w:val="00A80015"/>
    <w:rsid w:val="00A802DA"/>
    <w:rsid w:val="00A82858"/>
    <w:rsid w:val="00A82C39"/>
    <w:rsid w:val="00A834F5"/>
    <w:rsid w:val="00A8374E"/>
    <w:rsid w:val="00A8384E"/>
    <w:rsid w:val="00A83B7D"/>
    <w:rsid w:val="00A85B8D"/>
    <w:rsid w:val="00A85BC5"/>
    <w:rsid w:val="00A85EBF"/>
    <w:rsid w:val="00A8606C"/>
    <w:rsid w:val="00A8626B"/>
    <w:rsid w:val="00A8631C"/>
    <w:rsid w:val="00A87DE1"/>
    <w:rsid w:val="00A90064"/>
    <w:rsid w:val="00A9018A"/>
    <w:rsid w:val="00A90FFE"/>
    <w:rsid w:val="00A910D1"/>
    <w:rsid w:val="00A910D6"/>
    <w:rsid w:val="00A9181C"/>
    <w:rsid w:val="00A91F7A"/>
    <w:rsid w:val="00A923BE"/>
    <w:rsid w:val="00A9274B"/>
    <w:rsid w:val="00A92CBC"/>
    <w:rsid w:val="00A94B2B"/>
    <w:rsid w:val="00A95AF6"/>
    <w:rsid w:val="00A960BF"/>
    <w:rsid w:val="00A97927"/>
    <w:rsid w:val="00A97CC4"/>
    <w:rsid w:val="00A97DF2"/>
    <w:rsid w:val="00AA0210"/>
    <w:rsid w:val="00AA0717"/>
    <w:rsid w:val="00AA0C75"/>
    <w:rsid w:val="00AA0CAC"/>
    <w:rsid w:val="00AA1155"/>
    <w:rsid w:val="00AA1C31"/>
    <w:rsid w:val="00AA1DE3"/>
    <w:rsid w:val="00AA2240"/>
    <w:rsid w:val="00AA2478"/>
    <w:rsid w:val="00AA2F56"/>
    <w:rsid w:val="00AA4240"/>
    <w:rsid w:val="00AA502F"/>
    <w:rsid w:val="00AA5D7E"/>
    <w:rsid w:val="00AA641D"/>
    <w:rsid w:val="00AA66B6"/>
    <w:rsid w:val="00AA6B7F"/>
    <w:rsid w:val="00AA6E3A"/>
    <w:rsid w:val="00AA7741"/>
    <w:rsid w:val="00AA77CA"/>
    <w:rsid w:val="00AA7D17"/>
    <w:rsid w:val="00AA7F4E"/>
    <w:rsid w:val="00AB027C"/>
    <w:rsid w:val="00AB1586"/>
    <w:rsid w:val="00AB17A9"/>
    <w:rsid w:val="00AB1C0C"/>
    <w:rsid w:val="00AB2825"/>
    <w:rsid w:val="00AB28AE"/>
    <w:rsid w:val="00AB319B"/>
    <w:rsid w:val="00AB4012"/>
    <w:rsid w:val="00AB468E"/>
    <w:rsid w:val="00AB46D9"/>
    <w:rsid w:val="00AB506F"/>
    <w:rsid w:val="00AB5361"/>
    <w:rsid w:val="00AB5C16"/>
    <w:rsid w:val="00AB689B"/>
    <w:rsid w:val="00AB68B0"/>
    <w:rsid w:val="00AB6B77"/>
    <w:rsid w:val="00AB6B88"/>
    <w:rsid w:val="00AB6E70"/>
    <w:rsid w:val="00AB76D0"/>
    <w:rsid w:val="00AB78CE"/>
    <w:rsid w:val="00AB7ACF"/>
    <w:rsid w:val="00AC0033"/>
    <w:rsid w:val="00AC01BE"/>
    <w:rsid w:val="00AC05D6"/>
    <w:rsid w:val="00AC0ACB"/>
    <w:rsid w:val="00AC12D4"/>
    <w:rsid w:val="00AC15C0"/>
    <w:rsid w:val="00AC19F3"/>
    <w:rsid w:val="00AC1A85"/>
    <w:rsid w:val="00AC30FF"/>
    <w:rsid w:val="00AC3438"/>
    <w:rsid w:val="00AC4258"/>
    <w:rsid w:val="00AC5145"/>
    <w:rsid w:val="00AC515E"/>
    <w:rsid w:val="00AC5196"/>
    <w:rsid w:val="00AC5784"/>
    <w:rsid w:val="00AC62F0"/>
    <w:rsid w:val="00AC6D03"/>
    <w:rsid w:val="00AC725F"/>
    <w:rsid w:val="00AD0CDC"/>
    <w:rsid w:val="00AD198D"/>
    <w:rsid w:val="00AD29B2"/>
    <w:rsid w:val="00AD2AB1"/>
    <w:rsid w:val="00AD3E9A"/>
    <w:rsid w:val="00AD499F"/>
    <w:rsid w:val="00AD5BE1"/>
    <w:rsid w:val="00AD6049"/>
    <w:rsid w:val="00AD65FB"/>
    <w:rsid w:val="00AD7877"/>
    <w:rsid w:val="00AD7D6B"/>
    <w:rsid w:val="00AE0044"/>
    <w:rsid w:val="00AE1C9C"/>
    <w:rsid w:val="00AE389E"/>
    <w:rsid w:val="00AE5288"/>
    <w:rsid w:val="00AE5C6C"/>
    <w:rsid w:val="00AE5E07"/>
    <w:rsid w:val="00AE60DD"/>
    <w:rsid w:val="00AE6208"/>
    <w:rsid w:val="00AE662B"/>
    <w:rsid w:val="00AE6679"/>
    <w:rsid w:val="00AE6923"/>
    <w:rsid w:val="00AE6C81"/>
    <w:rsid w:val="00AE7053"/>
    <w:rsid w:val="00AE713C"/>
    <w:rsid w:val="00AE7997"/>
    <w:rsid w:val="00AF08F2"/>
    <w:rsid w:val="00AF0B3B"/>
    <w:rsid w:val="00AF1276"/>
    <w:rsid w:val="00AF1412"/>
    <w:rsid w:val="00AF1519"/>
    <w:rsid w:val="00AF1708"/>
    <w:rsid w:val="00AF1AE2"/>
    <w:rsid w:val="00AF202E"/>
    <w:rsid w:val="00AF2835"/>
    <w:rsid w:val="00AF2CCC"/>
    <w:rsid w:val="00AF355F"/>
    <w:rsid w:val="00AF3C9E"/>
    <w:rsid w:val="00AF3F5F"/>
    <w:rsid w:val="00AF4712"/>
    <w:rsid w:val="00AF490E"/>
    <w:rsid w:val="00AF56C5"/>
    <w:rsid w:val="00AF57D9"/>
    <w:rsid w:val="00AF61B8"/>
    <w:rsid w:val="00AF6377"/>
    <w:rsid w:val="00AF661D"/>
    <w:rsid w:val="00AF6711"/>
    <w:rsid w:val="00AF6AE2"/>
    <w:rsid w:val="00B0071E"/>
    <w:rsid w:val="00B0092A"/>
    <w:rsid w:val="00B012A9"/>
    <w:rsid w:val="00B01CFE"/>
    <w:rsid w:val="00B01D52"/>
    <w:rsid w:val="00B02233"/>
    <w:rsid w:val="00B02457"/>
    <w:rsid w:val="00B024BB"/>
    <w:rsid w:val="00B0261F"/>
    <w:rsid w:val="00B02958"/>
    <w:rsid w:val="00B0324E"/>
    <w:rsid w:val="00B03A44"/>
    <w:rsid w:val="00B04372"/>
    <w:rsid w:val="00B048CA"/>
    <w:rsid w:val="00B04929"/>
    <w:rsid w:val="00B05151"/>
    <w:rsid w:val="00B05304"/>
    <w:rsid w:val="00B05E82"/>
    <w:rsid w:val="00B062D3"/>
    <w:rsid w:val="00B0676C"/>
    <w:rsid w:val="00B069CA"/>
    <w:rsid w:val="00B07DAF"/>
    <w:rsid w:val="00B07E11"/>
    <w:rsid w:val="00B101BC"/>
    <w:rsid w:val="00B102EC"/>
    <w:rsid w:val="00B10665"/>
    <w:rsid w:val="00B110F7"/>
    <w:rsid w:val="00B11A3D"/>
    <w:rsid w:val="00B12841"/>
    <w:rsid w:val="00B13955"/>
    <w:rsid w:val="00B14400"/>
    <w:rsid w:val="00B158E8"/>
    <w:rsid w:val="00B1614F"/>
    <w:rsid w:val="00B1634F"/>
    <w:rsid w:val="00B16801"/>
    <w:rsid w:val="00B20D59"/>
    <w:rsid w:val="00B20FAC"/>
    <w:rsid w:val="00B21160"/>
    <w:rsid w:val="00B21C66"/>
    <w:rsid w:val="00B2244D"/>
    <w:rsid w:val="00B224CA"/>
    <w:rsid w:val="00B22670"/>
    <w:rsid w:val="00B229EF"/>
    <w:rsid w:val="00B22E83"/>
    <w:rsid w:val="00B22F91"/>
    <w:rsid w:val="00B2487F"/>
    <w:rsid w:val="00B2498B"/>
    <w:rsid w:val="00B256BB"/>
    <w:rsid w:val="00B25887"/>
    <w:rsid w:val="00B25C46"/>
    <w:rsid w:val="00B2633A"/>
    <w:rsid w:val="00B26744"/>
    <w:rsid w:val="00B26AD1"/>
    <w:rsid w:val="00B273F2"/>
    <w:rsid w:val="00B27B3D"/>
    <w:rsid w:val="00B321D0"/>
    <w:rsid w:val="00B330E1"/>
    <w:rsid w:val="00B33500"/>
    <w:rsid w:val="00B33EDF"/>
    <w:rsid w:val="00B341E9"/>
    <w:rsid w:val="00B34C92"/>
    <w:rsid w:val="00B34F1B"/>
    <w:rsid w:val="00B353A7"/>
    <w:rsid w:val="00B35AF5"/>
    <w:rsid w:val="00B37467"/>
    <w:rsid w:val="00B37AF8"/>
    <w:rsid w:val="00B404C3"/>
    <w:rsid w:val="00B407CC"/>
    <w:rsid w:val="00B41277"/>
    <w:rsid w:val="00B420AC"/>
    <w:rsid w:val="00B426FC"/>
    <w:rsid w:val="00B42F25"/>
    <w:rsid w:val="00B43514"/>
    <w:rsid w:val="00B439A7"/>
    <w:rsid w:val="00B43A2A"/>
    <w:rsid w:val="00B4425D"/>
    <w:rsid w:val="00B45C3E"/>
    <w:rsid w:val="00B46DED"/>
    <w:rsid w:val="00B5132F"/>
    <w:rsid w:val="00B51D11"/>
    <w:rsid w:val="00B51DAE"/>
    <w:rsid w:val="00B52317"/>
    <w:rsid w:val="00B52396"/>
    <w:rsid w:val="00B527AB"/>
    <w:rsid w:val="00B529D8"/>
    <w:rsid w:val="00B53DC0"/>
    <w:rsid w:val="00B542AA"/>
    <w:rsid w:val="00B54E99"/>
    <w:rsid w:val="00B55044"/>
    <w:rsid w:val="00B5553F"/>
    <w:rsid w:val="00B558AE"/>
    <w:rsid w:val="00B5595E"/>
    <w:rsid w:val="00B55D82"/>
    <w:rsid w:val="00B561C0"/>
    <w:rsid w:val="00B563D8"/>
    <w:rsid w:val="00B57156"/>
    <w:rsid w:val="00B5716E"/>
    <w:rsid w:val="00B5771E"/>
    <w:rsid w:val="00B6032E"/>
    <w:rsid w:val="00B6102E"/>
    <w:rsid w:val="00B61FC2"/>
    <w:rsid w:val="00B6229B"/>
    <w:rsid w:val="00B62DE6"/>
    <w:rsid w:val="00B64019"/>
    <w:rsid w:val="00B64760"/>
    <w:rsid w:val="00B64E92"/>
    <w:rsid w:val="00B6502A"/>
    <w:rsid w:val="00B6523F"/>
    <w:rsid w:val="00B65985"/>
    <w:rsid w:val="00B65D61"/>
    <w:rsid w:val="00B65E73"/>
    <w:rsid w:val="00B66979"/>
    <w:rsid w:val="00B672EF"/>
    <w:rsid w:val="00B70583"/>
    <w:rsid w:val="00B70DFB"/>
    <w:rsid w:val="00B713AF"/>
    <w:rsid w:val="00B71787"/>
    <w:rsid w:val="00B71AA7"/>
    <w:rsid w:val="00B72FA6"/>
    <w:rsid w:val="00B7303B"/>
    <w:rsid w:val="00B73065"/>
    <w:rsid w:val="00B73560"/>
    <w:rsid w:val="00B73992"/>
    <w:rsid w:val="00B73A9D"/>
    <w:rsid w:val="00B73EE3"/>
    <w:rsid w:val="00B760EC"/>
    <w:rsid w:val="00B7686A"/>
    <w:rsid w:val="00B76D6C"/>
    <w:rsid w:val="00B775D2"/>
    <w:rsid w:val="00B77876"/>
    <w:rsid w:val="00B80053"/>
    <w:rsid w:val="00B81024"/>
    <w:rsid w:val="00B8122B"/>
    <w:rsid w:val="00B81B08"/>
    <w:rsid w:val="00B835C6"/>
    <w:rsid w:val="00B835D4"/>
    <w:rsid w:val="00B83695"/>
    <w:rsid w:val="00B84B67"/>
    <w:rsid w:val="00B854CB"/>
    <w:rsid w:val="00B9025D"/>
    <w:rsid w:val="00B90E19"/>
    <w:rsid w:val="00B91EA9"/>
    <w:rsid w:val="00B92930"/>
    <w:rsid w:val="00B92C91"/>
    <w:rsid w:val="00B9385B"/>
    <w:rsid w:val="00B93A6F"/>
    <w:rsid w:val="00B94CB5"/>
    <w:rsid w:val="00B9558E"/>
    <w:rsid w:val="00B959CD"/>
    <w:rsid w:val="00B95D45"/>
    <w:rsid w:val="00B9653A"/>
    <w:rsid w:val="00B96764"/>
    <w:rsid w:val="00B9737F"/>
    <w:rsid w:val="00B97690"/>
    <w:rsid w:val="00BA031C"/>
    <w:rsid w:val="00BA1103"/>
    <w:rsid w:val="00BA23D5"/>
    <w:rsid w:val="00BA2A6D"/>
    <w:rsid w:val="00BA3004"/>
    <w:rsid w:val="00BA311C"/>
    <w:rsid w:val="00BA3903"/>
    <w:rsid w:val="00BA3A35"/>
    <w:rsid w:val="00BA3DA6"/>
    <w:rsid w:val="00BA4186"/>
    <w:rsid w:val="00BA4425"/>
    <w:rsid w:val="00BA489F"/>
    <w:rsid w:val="00BA4A91"/>
    <w:rsid w:val="00BA55CD"/>
    <w:rsid w:val="00BA575D"/>
    <w:rsid w:val="00BA5F61"/>
    <w:rsid w:val="00BA6DB5"/>
    <w:rsid w:val="00BB0468"/>
    <w:rsid w:val="00BB12AB"/>
    <w:rsid w:val="00BB1617"/>
    <w:rsid w:val="00BB1A2A"/>
    <w:rsid w:val="00BB1C44"/>
    <w:rsid w:val="00BB2268"/>
    <w:rsid w:val="00BB34B6"/>
    <w:rsid w:val="00BB361A"/>
    <w:rsid w:val="00BB369A"/>
    <w:rsid w:val="00BB3BA8"/>
    <w:rsid w:val="00BB3E05"/>
    <w:rsid w:val="00BB3E26"/>
    <w:rsid w:val="00BB5083"/>
    <w:rsid w:val="00BB61AE"/>
    <w:rsid w:val="00BB6579"/>
    <w:rsid w:val="00BB65CB"/>
    <w:rsid w:val="00BB6C1F"/>
    <w:rsid w:val="00BB73EF"/>
    <w:rsid w:val="00BB7D01"/>
    <w:rsid w:val="00BB7E2D"/>
    <w:rsid w:val="00BB7F02"/>
    <w:rsid w:val="00BC0013"/>
    <w:rsid w:val="00BC08CD"/>
    <w:rsid w:val="00BC2B49"/>
    <w:rsid w:val="00BC39D9"/>
    <w:rsid w:val="00BC470F"/>
    <w:rsid w:val="00BC4F16"/>
    <w:rsid w:val="00BC5667"/>
    <w:rsid w:val="00BC5729"/>
    <w:rsid w:val="00BC57B9"/>
    <w:rsid w:val="00BC6042"/>
    <w:rsid w:val="00BC60F8"/>
    <w:rsid w:val="00BC6714"/>
    <w:rsid w:val="00BC681B"/>
    <w:rsid w:val="00BC6ED7"/>
    <w:rsid w:val="00BC73AD"/>
    <w:rsid w:val="00BD0584"/>
    <w:rsid w:val="00BD0972"/>
    <w:rsid w:val="00BD11B9"/>
    <w:rsid w:val="00BD12F5"/>
    <w:rsid w:val="00BD1D3E"/>
    <w:rsid w:val="00BD24C1"/>
    <w:rsid w:val="00BD2C5E"/>
    <w:rsid w:val="00BD2DC5"/>
    <w:rsid w:val="00BD3047"/>
    <w:rsid w:val="00BD4FAF"/>
    <w:rsid w:val="00BD5241"/>
    <w:rsid w:val="00BD5873"/>
    <w:rsid w:val="00BD5B72"/>
    <w:rsid w:val="00BD66A8"/>
    <w:rsid w:val="00BD6A5D"/>
    <w:rsid w:val="00BD6B37"/>
    <w:rsid w:val="00BD784B"/>
    <w:rsid w:val="00BD7A79"/>
    <w:rsid w:val="00BD7C99"/>
    <w:rsid w:val="00BE0BE3"/>
    <w:rsid w:val="00BE0FB6"/>
    <w:rsid w:val="00BE1542"/>
    <w:rsid w:val="00BE2073"/>
    <w:rsid w:val="00BE340C"/>
    <w:rsid w:val="00BE3BB0"/>
    <w:rsid w:val="00BE3BF2"/>
    <w:rsid w:val="00BE42CF"/>
    <w:rsid w:val="00BE4F67"/>
    <w:rsid w:val="00BE503A"/>
    <w:rsid w:val="00BE5366"/>
    <w:rsid w:val="00BE749C"/>
    <w:rsid w:val="00BF0433"/>
    <w:rsid w:val="00BF07AA"/>
    <w:rsid w:val="00BF11BF"/>
    <w:rsid w:val="00BF14EF"/>
    <w:rsid w:val="00BF156F"/>
    <w:rsid w:val="00BF1B7A"/>
    <w:rsid w:val="00BF1CB5"/>
    <w:rsid w:val="00BF3659"/>
    <w:rsid w:val="00BF41F4"/>
    <w:rsid w:val="00BF4220"/>
    <w:rsid w:val="00BF54A8"/>
    <w:rsid w:val="00BF7214"/>
    <w:rsid w:val="00BF72A8"/>
    <w:rsid w:val="00C016E9"/>
    <w:rsid w:val="00C01D32"/>
    <w:rsid w:val="00C024F8"/>
    <w:rsid w:val="00C0294C"/>
    <w:rsid w:val="00C035E1"/>
    <w:rsid w:val="00C059C0"/>
    <w:rsid w:val="00C06997"/>
    <w:rsid w:val="00C06BB9"/>
    <w:rsid w:val="00C06E8A"/>
    <w:rsid w:val="00C0726E"/>
    <w:rsid w:val="00C072F1"/>
    <w:rsid w:val="00C07A52"/>
    <w:rsid w:val="00C07E03"/>
    <w:rsid w:val="00C1038D"/>
    <w:rsid w:val="00C10E71"/>
    <w:rsid w:val="00C11202"/>
    <w:rsid w:val="00C136A6"/>
    <w:rsid w:val="00C13F2D"/>
    <w:rsid w:val="00C1442B"/>
    <w:rsid w:val="00C1491A"/>
    <w:rsid w:val="00C14FF9"/>
    <w:rsid w:val="00C1564F"/>
    <w:rsid w:val="00C15A0F"/>
    <w:rsid w:val="00C15DE3"/>
    <w:rsid w:val="00C166A2"/>
    <w:rsid w:val="00C16E09"/>
    <w:rsid w:val="00C17186"/>
    <w:rsid w:val="00C1750C"/>
    <w:rsid w:val="00C17FEF"/>
    <w:rsid w:val="00C20877"/>
    <w:rsid w:val="00C21605"/>
    <w:rsid w:val="00C21926"/>
    <w:rsid w:val="00C221BC"/>
    <w:rsid w:val="00C22A15"/>
    <w:rsid w:val="00C22FB8"/>
    <w:rsid w:val="00C23825"/>
    <w:rsid w:val="00C2385C"/>
    <w:rsid w:val="00C24A1E"/>
    <w:rsid w:val="00C24AB1"/>
    <w:rsid w:val="00C251A0"/>
    <w:rsid w:val="00C257E5"/>
    <w:rsid w:val="00C2607C"/>
    <w:rsid w:val="00C26414"/>
    <w:rsid w:val="00C27440"/>
    <w:rsid w:val="00C27478"/>
    <w:rsid w:val="00C277F0"/>
    <w:rsid w:val="00C30A71"/>
    <w:rsid w:val="00C30BBE"/>
    <w:rsid w:val="00C30FFF"/>
    <w:rsid w:val="00C320C5"/>
    <w:rsid w:val="00C32103"/>
    <w:rsid w:val="00C32308"/>
    <w:rsid w:val="00C32969"/>
    <w:rsid w:val="00C32BDD"/>
    <w:rsid w:val="00C3392A"/>
    <w:rsid w:val="00C34F8B"/>
    <w:rsid w:val="00C35212"/>
    <w:rsid w:val="00C35545"/>
    <w:rsid w:val="00C3595C"/>
    <w:rsid w:val="00C35E41"/>
    <w:rsid w:val="00C363AE"/>
    <w:rsid w:val="00C36890"/>
    <w:rsid w:val="00C3692D"/>
    <w:rsid w:val="00C36DF2"/>
    <w:rsid w:val="00C36F10"/>
    <w:rsid w:val="00C372C1"/>
    <w:rsid w:val="00C377DF"/>
    <w:rsid w:val="00C3781A"/>
    <w:rsid w:val="00C405B6"/>
    <w:rsid w:val="00C40B01"/>
    <w:rsid w:val="00C41425"/>
    <w:rsid w:val="00C41D73"/>
    <w:rsid w:val="00C42230"/>
    <w:rsid w:val="00C43090"/>
    <w:rsid w:val="00C43769"/>
    <w:rsid w:val="00C43F2E"/>
    <w:rsid w:val="00C44234"/>
    <w:rsid w:val="00C450CE"/>
    <w:rsid w:val="00C45EAD"/>
    <w:rsid w:val="00C463AA"/>
    <w:rsid w:val="00C47514"/>
    <w:rsid w:val="00C47A30"/>
    <w:rsid w:val="00C47E91"/>
    <w:rsid w:val="00C50B8F"/>
    <w:rsid w:val="00C50D37"/>
    <w:rsid w:val="00C513E2"/>
    <w:rsid w:val="00C51A6B"/>
    <w:rsid w:val="00C51B9D"/>
    <w:rsid w:val="00C52FAE"/>
    <w:rsid w:val="00C53068"/>
    <w:rsid w:val="00C5307E"/>
    <w:rsid w:val="00C5359B"/>
    <w:rsid w:val="00C535F1"/>
    <w:rsid w:val="00C543CD"/>
    <w:rsid w:val="00C54980"/>
    <w:rsid w:val="00C54C4A"/>
    <w:rsid w:val="00C554E9"/>
    <w:rsid w:val="00C55FBE"/>
    <w:rsid w:val="00C56591"/>
    <w:rsid w:val="00C568A6"/>
    <w:rsid w:val="00C56D97"/>
    <w:rsid w:val="00C57136"/>
    <w:rsid w:val="00C57236"/>
    <w:rsid w:val="00C575F7"/>
    <w:rsid w:val="00C60796"/>
    <w:rsid w:val="00C60867"/>
    <w:rsid w:val="00C60F92"/>
    <w:rsid w:val="00C61139"/>
    <w:rsid w:val="00C6140C"/>
    <w:rsid w:val="00C61C29"/>
    <w:rsid w:val="00C61CE0"/>
    <w:rsid w:val="00C61E39"/>
    <w:rsid w:val="00C61EA6"/>
    <w:rsid w:val="00C62E53"/>
    <w:rsid w:val="00C63441"/>
    <w:rsid w:val="00C634D7"/>
    <w:rsid w:val="00C64619"/>
    <w:rsid w:val="00C66329"/>
    <w:rsid w:val="00C66AB3"/>
    <w:rsid w:val="00C66D21"/>
    <w:rsid w:val="00C66F69"/>
    <w:rsid w:val="00C6790E"/>
    <w:rsid w:val="00C700E1"/>
    <w:rsid w:val="00C70926"/>
    <w:rsid w:val="00C711CF"/>
    <w:rsid w:val="00C714F5"/>
    <w:rsid w:val="00C71D6D"/>
    <w:rsid w:val="00C72134"/>
    <w:rsid w:val="00C72824"/>
    <w:rsid w:val="00C73857"/>
    <w:rsid w:val="00C73C57"/>
    <w:rsid w:val="00C73D35"/>
    <w:rsid w:val="00C7430F"/>
    <w:rsid w:val="00C746FC"/>
    <w:rsid w:val="00C7543E"/>
    <w:rsid w:val="00C75D94"/>
    <w:rsid w:val="00C765F4"/>
    <w:rsid w:val="00C767ED"/>
    <w:rsid w:val="00C76884"/>
    <w:rsid w:val="00C77BAD"/>
    <w:rsid w:val="00C803F6"/>
    <w:rsid w:val="00C8064B"/>
    <w:rsid w:val="00C80AE4"/>
    <w:rsid w:val="00C81370"/>
    <w:rsid w:val="00C813EA"/>
    <w:rsid w:val="00C81C3C"/>
    <w:rsid w:val="00C82851"/>
    <w:rsid w:val="00C82C47"/>
    <w:rsid w:val="00C8309F"/>
    <w:rsid w:val="00C83147"/>
    <w:rsid w:val="00C83D2A"/>
    <w:rsid w:val="00C83DBA"/>
    <w:rsid w:val="00C83EFC"/>
    <w:rsid w:val="00C84B26"/>
    <w:rsid w:val="00C850C3"/>
    <w:rsid w:val="00C857B9"/>
    <w:rsid w:val="00C86F5C"/>
    <w:rsid w:val="00C872DC"/>
    <w:rsid w:val="00C873E7"/>
    <w:rsid w:val="00C874A4"/>
    <w:rsid w:val="00C90166"/>
    <w:rsid w:val="00C91288"/>
    <w:rsid w:val="00C92F04"/>
    <w:rsid w:val="00C92F61"/>
    <w:rsid w:val="00C934D5"/>
    <w:rsid w:val="00C9444D"/>
    <w:rsid w:val="00C94BDF"/>
    <w:rsid w:val="00C955AB"/>
    <w:rsid w:val="00C96C64"/>
    <w:rsid w:val="00C971C0"/>
    <w:rsid w:val="00C9723D"/>
    <w:rsid w:val="00CA0870"/>
    <w:rsid w:val="00CA0C0A"/>
    <w:rsid w:val="00CA0F4E"/>
    <w:rsid w:val="00CA1106"/>
    <w:rsid w:val="00CA127A"/>
    <w:rsid w:val="00CA19B6"/>
    <w:rsid w:val="00CA3EA6"/>
    <w:rsid w:val="00CA54B5"/>
    <w:rsid w:val="00CA58D1"/>
    <w:rsid w:val="00CA5EB0"/>
    <w:rsid w:val="00CA6168"/>
    <w:rsid w:val="00CA6AFD"/>
    <w:rsid w:val="00CA70E4"/>
    <w:rsid w:val="00CB0EE3"/>
    <w:rsid w:val="00CB1119"/>
    <w:rsid w:val="00CB133E"/>
    <w:rsid w:val="00CB188D"/>
    <w:rsid w:val="00CB1D5E"/>
    <w:rsid w:val="00CB1E4D"/>
    <w:rsid w:val="00CB22ED"/>
    <w:rsid w:val="00CB2F19"/>
    <w:rsid w:val="00CB3378"/>
    <w:rsid w:val="00CB3D82"/>
    <w:rsid w:val="00CB44B7"/>
    <w:rsid w:val="00CB5555"/>
    <w:rsid w:val="00CB5816"/>
    <w:rsid w:val="00CB6A84"/>
    <w:rsid w:val="00CC1293"/>
    <w:rsid w:val="00CC1351"/>
    <w:rsid w:val="00CC4AD7"/>
    <w:rsid w:val="00CC4EDC"/>
    <w:rsid w:val="00CC54BF"/>
    <w:rsid w:val="00CC5720"/>
    <w:rsid w:val="00CC595B"/>
    <w:rsid w:val="00CC5A64"/>
    <w:rsid w:val="00CC68D2"/>
    <w:rsid w:val="00CC7612"/>
    <w:rsid w:val="00CC7DF1"/>
    <w:rsid w:val="00CD06D2"/>
    <w:rsid w:val="00CD11D2"/>
    <w:rsid w:val="00CD1D6D"/>
    <w:rsid w:val="00CD270D"/>
    <w:rsid w:val="00CD36F8"/>
    <w:rsid w:val="00CD4ACB"/>
    <w:rsid w:val="00CD4D7E"/>
    <w:rsid w:val="00CD5609"/>
    <w:rsid w:val="00CD5963"/>
    <w:rsid w:val="00CD6035"/>
    <w:rsid w:val="00CD6C4A"/>
    <w:rsid w:val="00CD6C54"/>
    <w:rsid w:val="00CD7C3B"/>
    <w:rsid w:val="00CD7D43"/>
    <w:rsid w:val="00CD7F32"/>
    <w:rsid w:val="00CE080D"/>
    <w:rsid w:val="00CE1C79"/>
    <w:rsid w:val="00CE2325"/>
    <w:rsid w:val="00CE23A2"/>
    <w:rsid w:val="00CE2657"/>
    <w:rsid w:val="00CE2A1D"/>
    <w:rsid w:val="00CE4388"/>
    <w:rsid w:val="00CE450E"/>
    <w:rsid w:val="00CE5387"/>
    <w:rsid w:val="00CE5408"/>
    <w:rsid w:val="00CE54B7"/>
    <w:rsid w:val="00CE5596"/>
    <w:rsid w:val="00CE5796"/>
    <w:rsid w:val="00CE595A"/>
    <w:rsid w:val="00CE5C63"/>
    <w:rsid w:val="00CE5FDD"/>
    <w:rsid w:val="00CE6186"/>
    <w:rsid w:val="00CE6623"/>
    <w:rsid w:val="00CE748C"/>
    <w:rsid w:val="00CE77C8"/>
    <w:rsid w:val="00CE7B08"/>
    <w:rsid w:val="00CF04FD"/>
    <w:rsid w:val="00CF0EB6"/>
    <w:rsid w:val="00CF2380"/>
    <w:rsid w:val="00CF4B7F"/>
    <w:rsid w:val="00CF4E67"/>
    <w:rsid w:val="00CF5013"/>
    <w:rsid w:val="00CF56AC"/>
    <w:rsid w:val="00CF5EBA"/>
    <w:rsid w:val="00CF60A7"/>
    <w:rsid w:val="00CF71AA"/>
    <w:rsid w:val="00CF74C1"/>
    <w:rsid w:val="00CF78E8"/>
    <w:rsid w:val="00D00C8E"/>
    <w:rsid w:val="00D00D82"/>
    <w:rsid w:val="00D0126C"/>
    <w:rsid w:val="00D01835"/>
    <w:rsid w:val="00D01D23"/>
    <w:rsid w:val="00D01DC0"/>
    <w:rsid w:val="00D02060"/>
    <w:rsid w:val="00D02179"/>
    <w:rsid w:val="00D02DAA"/>
    <w:rsid w:val="00D02DBE"/>
    <w:rsid w:val="00D03074"/>
    <w:rsid w:val="00D0340F"/>
    <w:rsid w:val="00D034EA"/>
    <w:rsid w:val="00D03806"/>
    <w:rsid w:val="00D03AFE"/>
    <w:rsid w:val="00D03D4E"/>
    <w:rsid w:val="00D03F02"/>
    <w:rsid w:val="00D04A3C"/>
    <w:rsid w:val="00D04E16"/>
    <w:rsid w:val="00D04F5B"/>
    <w:rsid w:val="00D0562D"/>
    <w:rsid w:val="00D05957"/>
    <w:rsid w:val="00D05DAC"/>
    <w:rsid w:val="00D05F73"/>
    <w:rsid w:val="00D061DD"/>
    <w:rsid w:val="00D06427"/>
    <w:rsid w:val="00D06932"/>
    <w:rsid w:val="00D06A0B"/>
    <w:rsid w:val="00D0770F"/>
    <w:rsid w:val="00D07ACE"/>
    <w:rsid w:val="00D10500"/>
    <w:rsid w:val="00D1102D"/>
    <w:rsid w:val="00D12C30"/>
    <w:rsid w:val="00D13FD8"/>
    <w:rsid w:val="00D149DA"/>
    <w:rsid w:val="00D14E26"/>
    <w:rsid w:val="00D15D5B"/>
    <w:rsid w:val="00D1683E"/>
    <w:rsid w:val="00D20826"/>
    <w:rsid w:val="00D20A0D"/>
    <w:rsid w:val="00D215AD"/>
    <w:rsid w:val="00D22083"/>
    <w:rsid w:val="00D2224E"/>
    <w:rsid w:val="00D22BA1"/>
    <w:rsid w:val="00D23E25"/>
    <w:rsid w:val="00D2424F"/>
    <w:rsid w:val="00D243FF"/>
    <w:rsid w:val="00D24B9F"/>
    <w:rsid w:val="00D24DAF"/>
    <w:rsid w:val="00D258AC"/>
    <w:rsid w:val="00D25DBF"/>
    <w:rsid w:val="00D25E81"/>
    <w:rsid w:val="00D27158"/>
    <w:rsid w:val="00D27D11"/>
    <w:rsid w:val="00D3013B"/>
    <w:rsid w:val="00D308D0"/>
    <w:rsid w:val="00D30DE8"/>
    <w:rsid w:val="00D319EF"/>
    <w:rsid w:val="00D32A33"/>
    <w:rsid w:val="00D32B7A"/>
    <w:rsid w:val="00D33175"/>
    <w:rsid w:val="00D340A9"/>
    <w:rsid w:val="00D34746"/>
    <w:rsid w:val="00D3509B"/>
    <w:rsid w:val="00D36EA1"/>
    <w:rsid w:val="00D37866"/>
    <w:rsid w:val="00D40428"/>
    <w:rsid w:val="00D41026"/>
    <w:rsid w:val="00D410C0"/>
    <w:rsid w:val="00D414D6"/>
    <w:rsid w:val="00D436AC"/>
    <w:rsid w:val="00D438FE"/>
    <w:rsid w:val="00D4411C"/>
    <w:rsid w:val="00D45DF6"/>
    <w:rsid w:val="00D4666A"/>
    <w:rsid w:val="00D47171"/>
    <w:rsid w:val="00D478E2"/>
    <w:rsid w:val="00D50186"/>
    <w:rsid w:val="00D5094A"/>
    <w:rsid w:val="00D511CA"/>
    <w:rsid w:val="00D51334"/>
    <w:rsid w:val="00D516AA"/>
    <w:rsid w:val="00D51EDB"/>
    <w:rsid w:val="00D54A2E"/>
    <w:rsid w:val="00D551D6"/>
    <w:rsid w:val="00D55AE9"/>
    <w:rsid w:val="00D55DAA"/>
    <w:rsid w:val="00D562B0"/>
    <w:rsid w:val="00D56CF5"/>
    <w:rsid w:val="00D56D26"/>
    <w:rsid w:val="00D5735B"/>
    <w:rsid w:val="00D5744A"/>
    <w:rsid w:val="00D57B92"/>
    <w:rsid w:val="00D6327F"/>
    <w:rsid w:val="00D63B8B"/>
    <w:rsid w:val="00D643BC"/>
    <w:rsid w:val="00D65A8E"/>
    <w:rsid w:val="00D66242"/>
    <w:rsid w:val="00D6646D"/>
    <w:rsid w:val="00D66F5F"/>
    <w:rsid w:val="00D675CA"/>
    <w:rsid w:val="00D67A6F"/>
    <w:rsid w:val="00D70432"/>
    <w:rsid w:val="00D71032"/>
    <w:rsid w:val="00D71398"/>
    <w:rsid w:val="00D71411"/>
    <w:rsid w:val="00D72DFE"/>
    <w:rsid w:val="00D72E12"/>
    <w:rsid w:val="00D73519"/>
    <w:rsid w:val="00D73F07"/>
    <w:rsid w:val="00D74571"/>
    <w:rsid w:val="00D7522B"/>
    <w:rsid w:val="00D75AB0"/>
    <w:rsid w:val="00D760F3"/>
    <w:rsid w:val="00D76680"/>
    <w:rsid w:val="00D77336"/>
    <w:rsid w:val="00D77F07"/>
    <w:rsid w:val="00D80402"/>
    <w:rsid w:val="00D80700"/>
    <w:rsid w:val="00D80A30"/>
    <w:rsid w:val="00D80C72"/>
    <w:rsid w:val="00D810A1"/>
    <w:rsid w:val="00D829A8"/>
    <w:rsid w:val="00D82E10"/>
    <w:rsid w:val="00D82EC5"/>
    <w:rsid w:val="00D841E2"/>
    <w:rsid w:val="00D84741"/>
    <w:rsid w:val="00D85DAC"/>
    <w:rsid w:val="00D8633F"/>
    <w:rsid w:val="00D86F44"/>
    <w:rsid w:val="00D91538"/>
    <w:rsid w:val="00D92921"/>
    <w:rsid w:val="00D929D7"/>
    <w:rsid w:val="00D92E20"/>
    <w:rsid w:val="00D93347"/>
    <w:rsid w:val="00D935A1"/>
    <w:rsid w:val="00D937F3"/>
    <w:rsid w:val="00D947C4"/>
    <w:rsid w:val="00D94E8B"/>
    <w:rsid w:val="00D961BD"/>
    <w:rsid w:val="00D97032"/>
    <w:rsid w:val="00DA0CB7"/>
    <w:rsid w:val="00DA0ED2"/>
    <w:rsid w:val="00DA1688"/>
    <w:rsid w:val="00DA1DD8"/>
    <w:rsid w:val="00DA2318"/>
    <w:rsid w:val="00DA2A74"/>
    <w:rsid w:val="00DA2A95"/>
    <w:rsid w:val="00DA318A"/>
    <w:rsid w:val="00DA3992"/>
    <w:rsid w:val="00DA4151"/>
    <w:rsid w:val="00DA4535"/>
    <w:rsid w:val="00DA4631"/>
    <w:rsid w:val="00DA7530"/>
    <w:rsid w:val="00DB0802"/>
    <w:rsid w:val="00DB0893"/>
    <w:rsid w:val="00DB1787"/>
    <w:rsid w:val="00DB1DD3"/>
    <w:rsid w:val="00DB25F1"/>
    <w:rsid w:val="00DB2C59"/>
    <w:rsid w:val="00DB42E6"/>
    <w:rsid w:val="00DB45D7"/>
    <w:rsid w:val="00DB57AB"/>
    <w:rsid w:val="00DB5A6F"/>
    <w:rsid w:val="00DB5C86"/>
    <w:rsid w:val="00DB7182"/>
    <w:rsid w:val="00DB74F7"/>
    <w:rsid w:val="00DB79CE"/>
    <w:rsid w:val="00DB7A26"/>
    <w:rsid w:val="00DC01EE"/>
    <w:rsid w:val="00DC076D"/>
    <w:rsid w:val="00DC163D"/>
    <w:rsid w:val="00DC1D62"/>
    <w:rsid w:val="00DC52EE"/>
    <w:rsid w:val="00DC5B3C"/>
    <w:rsid w:val="00DC5F6A"/>
    <w:rsid w:val="00DC6261"/>
    <w:rsid w:val="00DC67B3"/>
    <w:rsid w:val="00DC69CF"/>
    <w:rsid w:val="00DC6F10"/>
    <w:rsid w:val="00DC6F9F"/>
    <w:rsid w:val="00DC7BA4"/>
    <w:rsid w:val="00DC7F22"/>
    <w:rsid w:val="00DC7FFD"/>
    <w:rsid w:val="00DD0108"/>
    <w:rsid w:val="00DD07EB"/>
    <w:rsid w:val="00DD0B74"/>
    <w:rsid w:val="00DD1DA4"/>
    <w:rsid w:val="00DD22FD"/>
    <w:rsid w:val="00DD2427"/>
    <w:rsid w:val="00DD31A1"/>
    <w:rsid w:val="00DD40B5"/>
    <w:rsid w:val="00DD43BA"/>
    <w:rsid w:val="00DD497A"/>
    <w:rsid w:val="00DD4BEA"/>
    <w:rsid w:val="00DD6AF1"/>
    <w:rsid w:val="00DD6B7A"/>
    <w:rsid w:val="00DD6C80"/>
    <w:rsid w:val="00DD6CAA"/>
    <w:rsid w:val="00DD729A"/>
    <w:rsid w:val="00DD72B6"/>
    <w:rsid w:val="00DD7849"/>
    <w:rsid w:val="00DE016D"/>
    <w:rsid w:val="00DE02AC"/>
    <w:rsid w:val="00DE0B80"/>
    <w:rsid w:val="00DE12CD"/>
    <w:rsid w:val="00DE1BBA"/>
    <w:rsid w:val="00DE34F0"/>
    <w:rsid w:val="00DE37DC"/>
    <w:rsid w:val="00DE3C4A"/>
    <w:rsid w:val="00DE4EB6"/>
    <w:rsid w:val="00DE69A1"/>
    <w:rsid w:val="00DF068F"/>
    <w:rsid w:val="00DF0939"/>
    <w:rsid w:val="00DF0CFF"/>
    <w:rsid w:val="00DF0D23"/>
    <w:rsid w:val="00DF185A"/>
    <w:rsid w:val="00DF1B7D"/>
    <w:rsid w:val="00DF24BB"/>
    <w:rsid w:val="00DF2746"/>
    <w:rsid w:val="00DF325A"/>
    <w:rsid w:val="00DF53C1"/>
    <w:rsid w:val="00DF5841"/>
    <w:rsid w:val="00DF6123"/>
    <w:rsid w:val="00DF6238"/>
    <w:rsid w:val="00DF6F65"/>
    <w:rsid w:val="00DF6F74"/>
    <w:rsid w:val="00DF6FFB"/>
    <w:rsid w:val="00DF7448"/>
    <w:rsid w:val="00DF75A7"/>
    <w:rsid w:val="00DF7F68"/>
    <w:rsid w:val="00E00409"/>
    <w:rsid w:val="00E0129C"/>
    <w:rsid w:val="00E017C8"/>
    <w:rsid w:val="00E01C5F"/>
    <w:rsid w:val="00E02153"/>
    <w:rsid w:val="00E0356E"/>
    <w:rsid w:val="00E05267"/>
    <w:rsid w:val="00E05546"/>
    <w:rsid w:val="00E06419"/>
    <w:rsid w:val="00E06725"/>
    <w:rsid w:val="00E06BCF"/>
    <w:rsid w:val="00E06E9A"/>
    <w:rsid w:val="00E070CB"/>
    <w:rsid w:val="00E07B2B"/>
    <w:rsid w:val="00E103E6"/>
    <w:rsid w:val="00E11739"/>
    <w:rsid w:val="00E11F19"/>
    <w:rsid w:val="00E127F5"/>
    <w:rsid w:val="00E13221"/>
    <w:rsid w:val="00E13538"/>
    <w:rsid w:val="00E13E5C"/>
    <w:rsid w:val="00E147B4"/>
    <w:rsid w:val="00E14F22"/>
    <w:rsid w:val="00E16010"/>
    <w:rsid w:val="00E161ED"/>
    <w:rsid w:val="00E16508"/>
    <w:rsid w:val="00E177BC"/>
    <w:rsid w:val="00E20601"/>
    <w:rsid w:val="00E20F26"/>
    <w:rsid w:val="00E21C32"/>
    <w:rsid w:val="00E2210E"/>
    <w:rsid w:val="00E23D57"/>
    <w:rsid w:val="00E243C3"/>
    <w:rsid w:val="00E24434"/>
    <w:rsid w:val="00E24D89"/>
    <w:rsid w:val="00E24FAE"/>
    <w:rsid w:val="00E25031"/>
    <w:rsid w:val="00E259C2"/>
    <w:rsid w:val="00E25B23"/>
    <w:rsid w:val="00E26F56"/>
    <w:rsid w:val="00E272EC"/>
    <w:rsid w:val="00E27378"/>
    <w:rsid w:val="00E27D31"/>
    <w:rsid w:val="00E3086B"/>
    <w:rsid w:val="00E30BEB"/>
    <w:rsid w:val="00E31512"/>
    <w:rsid w:val="00E31DAD"/>
    <w:rsid w:val="00E32DE0"/>
    <w:rsid w:val="00E330EF"/>
    <w:rsid w:val="00E34867"/>
    <w:rsid w:val="00E34C71"/>
    <w:rsid w:val="00E351E5"/>
    <w:rsid w:val="00E35295"/>
    <w:rsid w:val="00E36E0A"/>
    <w:rsid w:val="00E379FB"/>
    <w:rsid w:val="00E37B2C"/>
    <w:rsid w:val="00E37CAF"/>
    <w:rsid w:val="00E37E15"/>
    <w:rsid w:val="00E37FDF"/>
    <w:rsid w:val="00E40304"/>
    <w:rsid w:val="00E40713"/>
    <w:rsid w:val="00E41A41"/>
    <w:rsid w:val="00E41C5D"/>
    <w:rsid w:val="00E4203D"/>
    <w:rsid w:val="00E43A1A"/>
    <w:rsid w:val="00E43C68"/>
    <w:rsid w:val="00E4607A"/>
    <w:rsid w:val="00E463FD"/>
    <w:rsid w:val="00E46C36"/>
    <w:rsid w:val="00E4724A"/>
    <w:rsid w:val="00E47A06"/>
    <w:rsid w:val="00E47F33"/>
    <w:rsid w:val="00E47FC4"/>
    <w:rsid w:val="00E47FE2"/>
    <w:rsid w:val="00E504CC"/>
    <w:rsid w:val="00E50C9F"/>
    <w:rsid w:val="00E51610"/>
    <w:rsid w:val="00E528F8"/>
    <w:rsid w:val="00E5353B"/>
    <w:rsid w:val="00E541BB"/>
    <w:rsid w:val="00E541E1"/>
    <w:rsid w:val="00E55120"/>
    <w:rsid w:val="00E5520A"/>
    <w:rsid w:val="00E57437"/>
    <w:rsid w:val="00E60039"/>
    <w:rsid w:val="00E60AC6"/>
    <w:rsid w:val="00E625B3"/>
    <w:rsid w:val="00E628C0"/>
    <w:rsid w:val="00E62E5F"/>
    <w:rsid w:val="00E63025"/>
    <w:rsid w:val="00E64B09"/>
    <w:rsid w:val="00E650F9"/>
    <w:rsid w:val="00E65890"/>
    <w:rsid w:val="00E65945"/>
    <w:rsid w:val="00E65EE0"/>
    <w:rsid w:val="00E66A9C"/>
    <w:rsid w:val="00E67BC2"/>
    <w:rsid w:val="00E67F32"/>
    <w:rsid w:val="00E7010D"/>
    <w:rsid w:val="00E70441"/>
    <w:rsid w:val="00E70B78"/>
    <w:rsid w:val="00E70F9A"/>
    <w:rsid w:val="00E72248"/>
    <w:rsid w:val="00E722BC"/>
    <w:rsid w:val="00E7293E"/>
    <w:rsid w:val="00E73062"/>
    <w:rsid w:val="00E73B36"/>
    <w:rsid w:val="00E73EBE"/>
    <w:rsid w:val="00E741AF"/>
    <w:rsid w:val="00E77751"/>
    <w:rsid w:val="00E77A06"/>
    <w:rsid w:val="00E77CD0"/>
    <w:rsid w:val="00E77EE3"/>
    <w:rsid w:val="00E80299"/>
    <w:rsid w:val="00E812F7"/>
    <w:rsid w:val="00E81885"/>
    <w:rsid w:val="00E81A75"/>
    <w:rsid w:val="00E82EBB"/>
    <w:rsid w:val="00E83118"/>
    <w:rsid w:val="00E83E84"/>
    <w:rsid w:val="00E85496"/>
    <w:rsid w:val="00E85B31"/>
    <w:rsid w:val="00E866E6"/>
    <w:rsid w:val="00E87211"/>
    <w:rsid w:val="00E9015F"/>
    <w:rsid w:val="00E91D25"/>
    <w:rsid w:val="00E92962"/>
    <w:rsid w:val="00E94BD4"/>
    <w:rsid w:val="00E94F7D"/>
    <w:rsid w:val="00E95CB9"/>
    <w:rsid w:val="00E96D0D"/>
    <w:rsid w:val="00E974DA"/>
    <w:rsid w:val="00E97E47"/>
    <w:rsid w:val="00EA00D2"/>
    <w:rsid w:val="00EA05E3"/>
    <w:rsid w:val="00EA06FE"/>
    <w:rsid w:val="00EA1EC7"/>
    <w:rsid w:val="00EA34B4"/>
    <w:rsid w:val="00EA3711"/>
    <w:rsid w:val="00EA37B7"/>
    <w:rsid w:val="00EA3D1E"/>
    <w:rsid w:val="00EA4329"/>
    <w:rsid w:val="00EA4F72"/>
    <w:rsid w:val="00EA54E1"/>
    <w:rsid w:val="00EA57BA"/>
    <w:rsid w:val="00EA596F"/>
    <w:rsid w:val="00EA5BA4"/>
    <w:rsid w:val="00EA5C6A"/>
    <w:rsid w:val="00EA6DA2"/>
    <w:rsid w:val="00EB035B"/>
    <w:rsid w:val="00EB03A7"/>
    <w:rsid w:val="00EB07E8"/>
    <w:rsid w:val="00EB1B4A"/>
    <w:rsid w:val="00EB3DFF"/>
    <w:rsid w:val="00EB3F91"/>
    <w:rsid w:val="00EB69A2"/>
    <w:rsid w:val="00EB6D1D"/>
    <w:rsid w:val="00EB7DB7"/>
    <w:rsid w:val="00EC0B3F"/>
    <w:rsid w:val="00EC1429"/>
    <w:rsid w:val="00EC184C"/>
    <w:rsid w:val="00EC1C70"/>
    <w:rsid w:val="00EC2FEF"/>
    <w:rsid w:val="00EC3655"/>
    <w:rsid w:val="00EC3A51"/>
    <w:rsid w:val="00EC3BDE"/>
    <w:rsid w:val="00EC3E16"/>
    <w:rsid w:val="00EC51F7"/>
    <w:rsid w:val="00EC60F6"/>
    <w:rsid w:val="00EC6BEB"/>
    <w:rsid w:val="00EC7261"/>
    <w:rsid w:val="00EC726C"/>
    <w:rsid w:val="00EC73CB"/>
    <w:rsid w:val="00EC785C"/>
    <w:rsid w:val="00EC7990"/>
    <w:rsid w:val="00EC7A04"/>
    <w:rsid w:val="00EC7E6D"/>
    <w:rsid w:val="00ED196F"/>
    <w:rsid w:val="00ED1B05"/>
    <w:rsid w:val="00ED204B"/>
    <w:rsid w:val="00ED2628"/>
    <w:rsid w:val="00ED2CCB"/>
    <w:rsid w:val="00ED5010"/>
    <w:rsid w:val="00ED5185"/>
    <w:rsid w:val="00ED6120"/>
    <w:rsid w:val="00ED6783"/>
    <w:rsid w:val="00ED70BB"/>
    <w:rsid w:val="00ED7FAB"/>
    <w:rsid w:val="00EE025C"/>
    <w:rsid w:val="00EE27DD"/>
    <w:rsid w:val="00EE2B95"/>
    <w:rsid w:val="00EE2C15"/>
    <w:rsid w:val="00EE2D1B"/>
    <w:rsid w:val="00EE2D69"/>
    <w:rsid w:val="00EE4B64"/>
    <w:rsid w:val="00EE4B8D"/>
    <w:rsid w:val="00EE57B8"/>
    <w:rsid w:val="00EE5E7B"/>
    <w:rsid w:val="00EE6014"/>
    <w:rsid w:val="00EE6DEC"/>
    <w:rsid w:val="00EE77D8"/>
    <w:rsid w:val="00EE7CC3"/>
    <w:rsid w:val="00EF1535"/>
    <w:rsid w:val="00EF1974"/>
    <w:rsid w:val="00EF1EF6"/>
    <w:rsid w:val="00EF3477"/>
    <w:rsid w:val="00EF36B2"/>
    <w:rsid w:val="00EF3FE6"/>
    <w:rsid w:val="00EF4215"/>
    <w:rsid w:val="00EF44AE"/>
    <w:rsid w:val="00EF45FD"/>
    <w:rsid w:val="00EF585D"/>
    <w:rsid w:val="00EF5D4C"/>
    <w:rsid w:val="00EF6A38"/>
    <w:rsid w:val="00EF7F9D"/>
    <w:rsid w:val="00F00193"/>
    <w:rsid w:val="00F003E2"/>
    <w:rsid w:val="00F00516"/>
    <w:rsid w:val="00F010AF"/>
    <w:rsid w:val="00F01F76"/>
    <w:rsid w:val="00F0216A"/>
    <w:rsid w:val="00F024EB"/>
    <w:rsid w:val="00F03045"/>
    <w:rsid w:val="00F03770"/>
    <w:rsid w:val="00F03A5A"/>
    <w:rsid w:val="00F04664"/>
    <w:rsid w:val="00F04D89"/>
    <w:rsid w:val="00F0510F"/>
    <w:rsid w:val="00F053CE"/>
    <w:rsid w:val="00F05A98"/>
    <w:rsid w:val="00F06A57"/>
    <w:rsid w:val="00F0739D"/>
    <w:rsid w:val="00F07B2E"/>
    <w:rsid w:val="00F10750"/>
    <w:rsid w:val="00F10974"/>
    <w:rsid w:val="00F10DD0"/>
    <w:rsid w:val="00F10E83"/>
    <w:rsid w:val="00F112B2"/>
    <w:rsid w:val="00F151E0"/>
    <w:rsid w:val="00F15BD7"/>
    <w:rsid w:val="00F160C8"/>
    <w:rsid w:val="00F2001C"/>
    <w:rsid w:val="00F207FD"/>
    <w:rsid w:val="00F20961"/>
    <w:rsid w:val="00F20E7E"/>
    <w:rsid w:val="00F226FC"/>
    <w:rsid w:val="00F22856"/>
    <w:rsid w:val="00F23156"/>
    <w:rsid w:val="00F2559D"/>
    <w:rsid w:val="00F25876"/>
    <w:rsid w:val="00F260F8"/>
    <w:rsid w:val="00F266C3"/>
    <w:rsid w:val="00F26DA3"/>
    <w:rsid w:val="00F27848"/>
    <w:rsid w:val="00F307F9"/>
    <w:rsid w:val="00F3085E"/>
    <w:rsid w:val="00F30930"/>
    <w:rsid w:val="00F32333"/>
    <w:rsid w:val="00F32522"/>
    <w:rsid w:val="00F33440"/>
    <w:rsid w:val="00F33577"/>
    <w:rsid w:val="00F34F39"/>
    <w:rsid w:val="00F34F61"/>
    <w:rsid w:val="00F35A79"/>
    <w:rsid w:val="00F361FE"/>
    <w:rsid w:val="00F363A5"/>
    <w:rsid w:val="00F366E3"/>
    <w:rsid w:val="00F3684E"/>
    <w:rsid w:val="00F37458"/>
    <w:rsid w:val="00F375AF"/>
    <w:rsid w:val="00F40168"/>
    <w:rsid w:val="00F41919"/>
    <w:rsid w:val="00F41BE4"/>
    <w:rsid w:val="00F4209A"/>
    <w:rsid w:val="00F420E2"/>
    <w:rsid w:val="00F435F6"/>
    <w:rsid w:val="00F43B13"/>
    <w:rsid w:val="00F43CBC"/>
    <w:rsid w:val="00F43EEC"/>
    <w:rsid w:val="00F4400C"/>
    <w:rsid w:val="00F4666A"/>
    <w:rsid w:val="00F4687B"/>
    <w:rsid w:val="00F4699E"/>
    <w:rsid w:val="00F469EB"/>
    <w:rsid w:val="00F4715A"/>
    <w:rsid w:val="00F47AFB"/>
    <w:rsid w:val="00F47FD1"/>
    <w:rsid w:val="00F50BDE"/>
    <w:rsid w:val="00F50C19"/>
    <w:rsid w:val="00F51A08"/>
    <w:rsid w:val="00F51CA5"/>
    <w:rsid w:val="00F520FF"/>
    <w:rsid w:val="00F52B31"/>
    <w:rsid w:val="00F52D20"/>
    <w:rsid w:val="00F52D60"/>
    <w:rsid w:val="00F53066"/>
    <w:rsid w:val="00F54333"/>
    <w:rsid w:val="00F547B9"/>
    <w:rsid w:val="00F549F7"/>
    <w:rsid w:val="00F54E72"/>
    <w:rsid w:val="00F55170"/>
    <w:rsid w:val="00F552C5"/>
    <w:rsid w:val="00F553F5"/>
    <w:rsid w:val="00F56034"/>
    <w:rsid w:val="00F566E1"/>
    <w:rsid w:val="00F569A7"/>
    <w:rsid w:val="00F5717A"/>
    <w:rsid w:val="00F57678"/>
    <w:rsid w:val="00F609E5"/>
    <w:rsid w:val="00F60A62"/>
    <w:rsid w:val="00F60CD3"/>
    <w:rsid w:val="00F60D3A"/>
    <w:rsid w:val="00F611C6"/>
    <w:rsid w:val="00F62C01"/>
    <w:rsid w:val="00F63380"/>
    <w:rsid w:val="00F63B3E"/>
    <w:rsid w:val="00F63E03"/>
    <w:rsid w:val="00F644B9"/>
    <w:rsid w:val="00F6562C"/>
    <w:rsid w:val="00F66619"/>
    <w:rsid w:val="00F66FB0"/>
    <w:rsid w:val="00F67C9F"/>
    <w:rsid w:val="00F67D06"/>
    <w:rsid w:val="00F70E4D"/>
    <w:rsid w:val="00F70F38"/>
    <w:rsid w:val="00F726EA"/>
    <w:rsid w:val="00F7319E"/>
    <w:rsid w:val="00F73291"/>
    <w:rsid w:val="00F73371"/>
    <w:rsid w:val="00F73850"/>
    <w:rsid w:val="00F73B81"/>
    <w:rsid w:val="00F742F5"/>
    <w:rsid w:val="00F7525F"/>
    <w:rsid w:val="00F76AB4"/>
    <w:rsid w:val="00F76C75"/>
    <w:rsid w:val="00F80F7F"/>
    <w:rsid w:val="00F8222C"/>
    <w:rsid w:val="00F82EBC"/>
    <w:rsid w:val="00F83049"/>
    <w:rsid w:val="00F83DC7"/>
    <w:rsid w:val="00F840D9"/>
    <w:rsid w:val="00F849ED"/>
    <w:rsid w:val="00F85630"/>
    <w:rsid w:val="00F87F37"/>
    <w:rsid w:val="00F902AC"/>
    <w:rsid w:val="00F90812"/>
    <w:rsid w:val="00F90FAF"/>
    <w:rsid w:val="00F9151A"/>
    <w:rsid w:val="00F93B59"/>
    <w:rsid w:val="00F93BBA"/>
    <w:rsid w:val="00F93CAA"/>
    <w:rsid w:val="00F93DE9"/>
    <w:rsid w:val="00F9410A"/>
    <w:rsid w:val="00F941E6"/>
    <w:rsid w:val="00F948CF"/>
    <w:rsid w:val="00F956AB"/>
    <w:rsid w:val="00F9576B"/>
    <w:rsid w:val="00F96590"/>
    <w:rsid w:val="00F96A7E"/>
    <w:rsid w:val="00F96AE5"/>
    <w:rsid w:val="00F9739F"/>
    <w:rsid w:val="00F97A03"/>
    <w:rsid w:val="00F97B06"/>
    <w:rsid w:val="00F97CFB"/>
    <w:rsid w:val="00F97DFB"/>
    <w:rsid w:val="00FA0093"/>
    <w:rsid w:val="00FA00AD"/>
    <w:rsid w:val="00FA0702"/>
    <w:rsid w:val="00FA077B"/>
    <w:rsid w:val="00FA093C"/>
    <w:rsid w:val="00FA096D"/>
    <w:rsid w:val="00FA157D"/>
    <w:rsid w:val="00FA3404"/>
    <w:rsid w:val="00FA406C"/>
    <w:rsid w:val="00FA4BC2"/>
    <w:rsid w:val="00FA535A"/>
    <w:rsid w:val="00FA591E"/>
    <w:rsid w:val="00FA7A57"/>
    <w:rsid w:val="00FA7DAC"/>
    <w:rsid w:val="00FB029D"/>
    <w:rsid w:val="00FB1973"/>
    <w:rsid w:val="00FB1A88"/>
    <w:rsid w:val="00FB2826"/>
    <w:rsid w:val="00FB2848"/>
    <w:rsid w:val="00FB2858"/>
    <w:rsid w:val="00FB2D76"/>
    <w:rsid w:val="00FB30C4"/>
    <w:rsid w:val="00FB360D"/>
    <w:rsid w:val="00FB4E7E"/>
    <w:rsid w:val="00FB4F02"/>
    <w:rsid w:val="00FB5158"/>
    <w:rsid w:val="00FB5B6B"/>
    <w:rsid w:val="00FB5D9F"/>
    <w:rsid w:val="00FB5F04"/>
    <w:rsid w:val="00FB721B"/>
    <w:rsid w:val="00FB7423"/>
    <w:rsid w:val="00FB760F"/>
    <w:rsid w:val="00FC00DC"/>
    <w:rsid w:val="00FC03F9"/>
    <w:rsid w:val="00FC1214"/>
    <w:rsid w:val="00FC17DE"/>
    <w:rsid w:val="00FC2B44"/>
    <w:rsid w:val="00FC2EA7"/>
    <w:rsid w:val="00FC327F"/>
    <w:rsid w:val="00FC36B2"/>
    <w:rsid w:val="00FC44D7"/>
    <w:rsid w:val="00FC4583"/>
    <w:rsid w:val="00FC555E"/>
    <w:rsid w:val="00FC5D46"/>
    <w:rsid w:val="00FC75D6"/>
    <w:rsid w:val="00FC7827"/>
    <w:rsid w:val="00FC7B14"/>
    <w:rsid w:val="00FD0933"/>
    <w:rsid w:val="00FD0EC2"/>
    <w:rsid w:val="00FD2BA5"/>
    <w:rsid w:val="00FD373E"/>
    <w:rsid w:val="00FD5176"/>
    <w:rsid w:val="00FD5605"/>
    <w:rsid w:val="00FD56AF"/>
    <w:rsid w:val="00FD57A0"/>
    <w:rsid w:val="00FD6419"/>
    <w:rsid w:val="00FD67E3"/>
    <w:rsid w:val="00FD6E1F"/>
    <w:rsid w:val="00FD6F16"/>
    <w:rsid w:val="00FD70C8"/>
    <w:rsid w:val="00FD7311"/>
    <w:rsid w:val="00FE035F"/>
    <w:rsid w:val="00FE1313"/>
    <w:rsid w:val="00FE1ED1"/>
    <w:rsid w:val="00FE26E0"/>
    <w:rsid w:val="00FE33A8"/>
    <w:rsid w:val="00FE3FD9"/>
    <w:rsid w:val="00FE44E2"/>
    <w:rsid w:val="00FE4570"/>
    <w:rsid w:val="00FE5079"/>
    <w:rsid w:val="00FE587F"/>
    <w:rsid w:val="00FE5DFA"/>
    <w:rsid w:val="00FE68BF"/>
    <w:rsid w:val="00FE6E24"/>
    <w:rsid w:val="00FE71EC"/>
    <w:rsid w:val="00FE7799"/>
    <w:rsid w:val="00FE77B4"/>
    <w:rsid w:val="00FE796F"/>
    <w:rsid w:val="00FE7CDA"/>
    <w:rsid w:val="00FF288E"/>
    <w:rsid w:val="00FF28AE"/>
    <w:rsid w:val="00FF3320"/>
    <w:rsid w:val="00FF3F5F"/>
    <w:rsid w:val="00FF45BF"/>
    <w:rsid w:val="00FF4DD4"/>
    <w:rsid w:val="00FF4F53"/>
    <w:rsid w:val="00FF5AD7"/>
    <w:rsid w:val="00FF5C40"/>
    <w:rsid w:val="00FF6CF4"/>
    <w:rsid w:val="00FF71E1"/>
    <w:rsid w:val="00FF7F8A"/>
    <w:rsid w:val="234F18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2pt" color="#FF00FF" endarrow="open" endarrowwidth="narrow" endarrowlength="short"/>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qFormat="1" w:unhideWhenUsed="0" w:uiPriority="0" w:semiHidden="0" w:name="Normal Indent"/>
    <w:lsdException w:unhideWhenUsed="0" w:uiPriority="99" w:semiHidden="0"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qFormat="1" w:unhideWhenUsed="0" w:uiPriority="99" w:semiHidden="0" w:name="table of figures"/>
    <w:lsdException w:uiPriority="99" w:name="envelope address"/>
    <w:lsdException w:uiPriority="99" w:name="envelope return"/>
    <w:lsdException w:unhideWhenUsed="0" w:uiPriority="99" w:semiHidden="0"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qFormat="1" w:unhideWhenUsed="0" w:uiPriority="0" w:semiHidden="0" w:name="endnote text"/>
    <w:lsdException w:uiPriority="99" w:name="table of authorities"/>
    <w:lsdException w:uiPriority="99" w:name="macro"/>
    <w:lsdException w:uiPriority="99" w:name="toa heading"/>
    <w:lsdException w:uiPriority="99" w:name="List"/>
    <w:lsdException w:uiPriority="99" w:name="List Bullet"/>
    <w:lsdException w:qFormat="1" w:unhideWhenUsed="0" w:uiPriority="0" w:semiHidden="0"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99"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semiHidden="0" w:name="Date"/>
    <w:lsdException w:uiPriority="99" w:name="Body Text First Indent"/>
    <w:lsdException w:qFormat="1" w:uiPriority="0" w:semiHidden="0"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iPriority="99" w:semiHidden="0" w:name="Body Text Indent 3"/>
    <w:lsdException w:uiPriority="99" w:name="Block Text"/>
    <w:lsdException w:qFormat="1" w:unhideWhenUsed="0" w:uiPriority="99" w:semiHidden="0" w:name="Hyperlink"/>
    <w:lsdException w:unhideWhenUsed="0" w:uiPriority="99"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qFormat="1" w:unhideWhenUsed="0" w:uiPriority="0" w:semiHidden="0"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39" w:semiHidden="0" w:name="Table Grid"/>
    <w:lsdException w:uiPriority="99"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6"/>
    <w:qFormat/>
    <w:uiPriority w:val="0"/>
    <w:pPr>
      <w:keepNext/>
      <w:keepLines/>
      <w:numPr>
        <w:ilvl w:val="0"/>
        <w:numId w:val="1"/>
      </w:numPr>
      <w:spacing w:before="340" w:after="330" w:line="360" w:lineRule="auto"/>
      <w:outlineLvl w:val="0"/>
    </w:pPr>
    <w:rPr>
      <w:rFonts w:eastAsia="黑体"/>
      <w:bCs/>
      <w:kern w:val="44"/>
      <w:sz w:val="32"/>
      <w:szCs w:val="44"/>
      <w:lang w:val="zh-CN" w:eastAsia="zh-CN"/>
    </w:rPr>
  </w:style>
  <w:style w:type="paragraph" w:styleId="3">
    <w:name w:val="heading 2"/>
    <w:basedOn w:val="1"/>
    <w:next w:val="1"/>
    <w:link w:val="57"/>
    <w:qFormat/>
    <w:uiPriority w:val="0"/>
    <w:pPr>
      <w:numPr>
        <w:ilvl w:val="1"/>
        <w:numId w:val="1"/>
      </w:numPr>
      <w:tabs>
        <w:tab w:val="left" w:pos="433"/>
        <w:tab w:val="left" w:pos="576"/>
      </w:tabs>
      <w:spacing w:before="260" w:after="260" w:line="360" w:lineRule="auto"/>
      <w:ind w:left="0" w:firstLine="0"/>
      <w:outlineLvl w:val="1"/>
    </w:pPr>
    <w:rPr>
      <w:rFonts w:ascii="Arial" w:hAnsi="Arial" w:eastAsia="黑体"/>
      <w:bCs/>
      <w:color w:val="000000"/>
      <w:kern w:val="0"/>
      <w:sz w:val="30"/>
      <w:szCs w:val="32"/>
      <w:lang w:val="zh-CN" w:eastAsia="zh-CN"/>
    </w:rPr>
  </w:style>
  <w:style w:type="paragraph" w:styleId="4">
    <w:name w:val="heading 3"/>
    <w:basedOn w:val="1"/>
    <w:next w:val="1"/>
    <w:link w:val="58"/>
    <w:qFormat/>
    <w:uiPriority w:val="0"/>
    <w:pPr>
      <w:numPr>
        <w:ilvl w:val="2"/>
        <w:numId w:val="1"/>
      </w:numPr>
      <w:tabs>
        <w:tab w:val="left" w:pos="0"/>
        <w:tab w:val="left" w:pos="1146"/>
      </w:tabs>
      <w:spacing w:before="260" w:after="260" w:line="360" w:lineRule="auto"/>
      <w:outlineLvl w:val="2"/>
    </w:pPr>
    <w:rPr>
      <w:rFonts w:eastAsia="黑体"/>
      <w:bCs/>
      <w:kern w:val="0"/>
      <w:sz w:val="28"/>
      <w:szCs w:val="28"/>
      <w:lang w:val="zh-CN" w:eastAsia="zh-CN"/>
    </w:rPr>
  </w:style>
  <w:style w:type="paragraph" w:styleId="5">
    <w:name w:val="heading 4"/>
    <w:basedOn w:val="1"/>
    <w:next w:val="1"/>
    <w:link w:val="59"/>
    <w:qFormat/>
    <w:uiPriority w:val="0"/>
    <w:pPr>
      <w:numPr>
        <w:ilvl w:val="3"/>
        <w:numId w:val="1"/>
      </w:numPr>
      <w:spacing w:before="280" w:after="290" w:line="377" w:lineRule="auto"/>
      <w:jc w:val="left"/>
      <w:outlineLvl w:val="3"/>
    </w:pPr>
    <w:rPr>
      <w:b/>
      <w:bCs/>
      <w:kern w:val="0"/>
      <w:sz w:val="24"/>
      <w:szCs w:val="28"/>
      <w:lang w:val="zh-CN" w:eastAsia="zh-CN"/>
    </w:rPr>
  </w:style>
  <w:style w:type="paragraph" w:styleId="6">
    <w:name w:val="heading 5"/>
    <w:basedOn w:val="1"/>
    <w:next w:val="1"/>
    <w:link w:val="60"/>
    <w:qFormat/>
    <w:uiPriority w:val="0"/>
    <w:pPr>
      <w:keepNext/>
      <w:keepLines/>
      <w:numPr>
        <w:ilvl w:val="4"/>
        <w:numId w:val="1"/>
      </w:numPr>
      <w:spacing w:before="280" w:after="290" w:line="376" w:lineRule="auto"/>
      <w:outlineLvl w:val="4"/>
    </w:pPr>
    <w:rPr>
      <w:b/>
      <w:bCs/>
      <w:color w:val="000000"/>
      <w:kern w:val="0"/>
      <w:sz w:val="24"/>
      <w:szCs w:val="28"/>
      <w:lang w:val="zh-CN" w:eastAsia="zh-CN"/>
    </w:rPr>
  </w:style>
  <w:style w:type="paragraph" w:styleId="7">
    <w:name w:val="heading 6"/>
    <w:basedOn w:val="1"/>
    <w:next w:val="8"/>
    <w:link w:val="61"/>
    <w:qFormat/>
    <w:uiPriority w:val="0"/>
    <w:pPr>
      <w:keepNext/>
      <w:keepLines/>
      <w:numPr>
        <w:ilvl w:val="5"/>
        <w:numId w:val="1"/>
      </w:numPr>
      <w:spacing w:before="240" w:after="64" w:line="320" w:lineRule="auto"/>
      <w:outlineLvl w:val="5"/>
    </w:pPr>
    <w:rPr>
      <w:rFonts w:ascii="Arial" w:hAnsi="Arial" w:eastAsia="黑体"/>
      <w:b/>
      <w:bCs/>
      <w:kern w:val="0"/>
      <w:sz w:val="24"/>
      <w:lang w:val="zh-CN" w:eastAsia="zh-CN"/>
    </w:rPr>
  </w:style>
  <w:style w:type="paragraph" w:styleId="9">
    <w:name w:val="heading 7"/>
    <w:basedOn w:val="1"/>
    <w:next w:val="1"/>
    <w:link w:val="62"/>
    <w:qFormat/>
    <w:uiPriority w:val="0"/>
    <w:pPr>
      <w:keepNext/>
      <w:keepLines/>
      <w:spacing w:before="240" w:after="64" w:line="320" w:lineRule="auto"/>
      <w:outlineLvl w:val="6"/>
    </w:pPr>
    <w:rPr>
      <w:b/>
      <w:bCs/>
      <w:kern w:val="0"/>
      <w:sz w:val="24"/>
      <w:lang w:val="zh-CN" w:eastAsia="zh-CN"/>
    </w:rPr>
  </w:style>
  <w:style w:type="paragraph" w:styleId="10">
    <w:name w:val="heading 8"/>
    <w:basedOn w:val="1"/>
    <w:next w:val="1"/>
    <w:link w:val="63"/>
    <w:qFormat/>
    <w:uiPriority w:val="0"/>
    <w:pPr>
      <w:keepNext/>
      <w:keepLines/>
      <w:spacing w:before="240" w:after="64" w:line="320" w:lineRule="auto"/>
      <w:outlineLvl w:val="7"/>
    </w:pPr>
    <w:rPr>
      <w:rFonts w:ascii="Cambria" w:hAnsi="Cambria"/>
      <w:kern w:val="0"/>
      <w:sz w:val="24"/>
      <w:lang w:val="zh-CN" w:eastAsia="zh-CN"/>
    </w:rPr>
  </w:style>
  <w:style w:type="paragraph" w:styleId="11">
    <w:name w:val="heading 9"/>
    <w:basedOn w:val="1"/>
    <w:next w:val="1"/>
    <w:link w:val="64"/>
    <w:qFormat/>
    <w:uiPriority w:val="0"/>
    <w:pPr>
      <w:keepNext/>
      <w:keepLines/>
      <w:spacing w:before="240" w:after="64" w:line="320" w:lineRule="auto"/>
      <w:outlineLvl w:val="8"/>
    </w:pPr>
    <w:rPr>
      <w:rFonts w:ascii="Cambria" w:hAnsi="Cambria"/>
      <w:kern w:val="0"/>
      <w:sz w:val="20"/>
      <w:szCs w:val="21"/>
      <w:lang w:val="zh-CN" w:eastAsia="zh-CN"/>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customStyle="1" w:styleId="8">
    <w:name w:val="环评正文"/>
    <w:basedOn w:val="1"/>
    <w:link w:val="125"/>
    <w:qFormat/>
    <w:uiPriority w:val="0"/>
    <w:pPr>
      <w:spacing w:before="156" w:beforeLines="50" w:after="156" w:afterLines="50" w:line="360" w:lineRule="auto"/>
      <w:ind w:firstLine="480" w:firstLineChars="200"/>
    </w:pPr>
    <w:rPr>
      <w:color w:val="000000"/>
      <w:sz w:val="24"/>
      <w:lang w:val="zh-CN" w:eastAsia="zh-CN"/>
    </w:rPr>
  </w:style>
  <w:style w:type="paragraph" w:styleId="12">
    <w:name w:val="toc 7"/>
    <w:basedOn w:val="1"/>
    <w:next w:val="1"/>
    <w:autoRedefine/>
    <w:unhideWhenUsed/>
    <w:uiPriority w:val="39"/>
    <w:pPr>
      <w:ind w:left="2520" w:leftChars="1200"/>
    </w:pPr>
    <w:rPr>
      <w:rFonts w:asciiTheme="minorHAnsi" w:hAnsiTheme="minorHAnsi" w:eastAsiaTheme="minorEastAsia" w:cstheme="minorBidi"/>
      <w:szCs w:val="22"/>
      <w14:ligatures w14:val="standardContextual"/>
    </w:rPr>
  </w:style>
  <w:style w:type="paragraph" w:styleId="13">
    <w:name w:val="List Number"/>
    <w:basedOn w:val="1"/>
    <w:qFormat/>
    <w:uiPriority w:val="0"/>
    <w:pPr>
      <w:numPr>
        <w:ilvl w:val="0"/>
        <w:numId w:val="2"/>
      </w:numPr>
    </w:pPr>
  </w:style>
  <w:style w:type="paragraph" w:styleId="14">
    <w:name w:val="Normal Indent"/>
    <w:basedOn w:val="1"/>
    <w:link w:val="72"/>
    <w:qFormat/>
    <w:uiPriority w:val="0"/>
    <w:pPr>
      <w:spacing w:line="360" w:lineRule="atLeast"/>
      <w:ind w:firstLine="420"/>
    </w:pPr>
    <w:rPr>
      <w:rFonts w:ascii="Calibri" w:hAnsi="Calibri"/>
      <w:kern w:val="21"/>
      <w:sz w:val="24"/>
      <w:szCs w:val="22"/>
    </w:rPr>
  </w:style>
  <w:style w:type="paragraph" w:styleId="15">
    <w:name w:val="caption"/>
    <w:basedOn w:val="1"/>
    <w:next w:val="1"/>
    <w:link w:val="82"/>
    <w:qFormat/>
    <w:uiPriority w:val="0"/>
    <w:pPr>
      <w:tabs>
        <w:tab w:val="left" w:pos="424"/>
        <w:tab w:val="center" w:pos="4252"/>
      </w:tabs>
      <w:spacing w:before="156" w:beforeLines="50" w:after="156" w:afterLines="50"/>
      <w:ind w:right="360"/>
      <w:jc w:val="center"/>
    </w:pPr>
    <w:rPr>
      <w:b/>
      <w:sz w:val="24"/>
      <w:szCs w:val="32"/>
    </w:rPr>
  </w:style>
  <w:style w:type="paragraph" w:styleId="16">
    <w:name w:val="Document Map"/>
    <w:basedOn w:val="1"/>
    <w:link w:val="103"/>
    <w:qFormat/>
    <w:uiPriority w:val="0"/>
    <w:rPr>
      <w:rFonts w:ascii="宋体" w:hAnsi="Calibri"/>
      <w:sz w:val="18"/>
      <w:szCs w:val="18"/>
    </w:rPr>
  </w:style>
  <w:style w:type="paragraph" w:styleId="17">
    <w:name w:val="annotation text"/>
    <w:basedOn w:val="1"/>
    <w:link w:val="67"/>
    <w:qFormat/>
    <w:uiPriority w:val="0"/>
    <w:pPr>
      <w:spacing w:line="276" w:lineRule="auto"/>
      <w:jc w:val="left"/>
    </w:pPr>
    <w:rPr>
      <w:rFonts w:ascii="Calibri" w:hAnsi="Calibri" w:eastAsia="仿宋_GB2312"/>
      <w:sz w:val="24"/>
    </w:rPr>
  </w:style>
  <w:style w:type="paragraph" w:styleId="18">
    <w:name w:val="Body Text"/>
    <w:basedOn w:val="1"/>
    <w:link w:val="166"/>
    <w:unhideWhenUsed/>
    <w:qFormat/>
    <w:uiPriority w:val="99"/>
    <w:pPr>
      <w:spacing w:after="120"/>
    </w:pPr>
  </w:style>
  <w:style w:type="paragraph" w:styleId="19">
    <w:name w:val="Body Text Indent"/>
    <w:basedOn w:val="1"/>
    <w:link w:val="91"/>
    <w:unhideWhenUsed/>
    <w:qFormat/>
    <w:uiPriority w:val="99"/>
    <w:pPr>
      <w:spacing w:after="120"/>
      <w:ind w:left="420" w:leftChars="200"/>
    </w:pPr>
  </w:style>
  <w:style w:type="paragraph" w:styleId="20">
    <w:name w:val="toc 5"/>
    <w:basedOn w:val="1"/>
    <w:next w:val="1"/>
    <w:autoRedefine/>
    <w:unhideWhenUsed/>
    <w:uiPriority w:val="39"/>
    <w:pPr>
      <w:ind w:left="1680" w:leftChars="800"/>
    </w:pPr>
    <w:rPr>
      <w:rFonts w:asciiTheme="minorHAnsi" w:hAnsiTheme="minorHAnsi" w:eastAsiaTheme="minorEastAsia" w:cstheme="minorBidi"/>
      <w:szCs w:val="22"/>
      <w14:ligatures w14:val="standardContextual"/>
    </w:rPr>
  </w:style>
  <w:style w:type="paragraph" w:styleId="21">
    <w:name w:val="toc 3"/>
    <w:basedOn w:val="1"/>
    <w:next w:val="1"/>
    <w:autoRedefine/>
    <w:unhideWhenUsed/>
    <w:qFormat/>
    <w:uiPriority w:val="39"/>
    <w:pPr>
      <w:widowControl/>
      <w:tabs>
        <w:tab w:val="left" w:pos="1620"/>
        <w:tab w:val="right" w:leader="dot" w:pos="8494"/>
      </w:tabs>
      <w:ind w:left="840" w:leftChars="400"/>
      <w:jc w:val="left"/>
    </w:pPr>
    <w:rPr>
      <w:rFonts w:ascii="宋体" w:hAnsi="宋体" w:cs="宋体"/>
      <w:kern w:val="0"/>
      <w:sz w:val="24"/>
    </w:rPr>
  </w:style>
  <w:style w:type="paragraph" w:styleId="22">
    <w:name w:val="Plain Text"/>
    <w:basedOn w:val="1"/>
    <w:link w:val="112"/>
    <w:qFormat/>
    <w:uiPriority w:val="0"/>
    <w:rPr>
      <w:rFonts w:ascii="宋体" w:hAnsi="Courier New" w:cs="Courier New"/>
      <w:szCs w:val="21"/>
    </w:rPr>
  </w:style>
  <w:style w:type="paragraph" w:styleId="23">
    <w:name w:val="toc 8"/>
    <w:basedOn w:val="1"/>
    <w:next w:val="1"/>
    <w:autoRedefine/>
    <w:unhideWhenUsed/>
    <w:uiPriority w:val="39"/>
    <w:pPr>
      <w:ind w:left="2940" w:leftChars="1400"/>
    </w:pPr>
    <w:rPr>
      <w:rFonts w:asciiTheme="minorHAnsi" w:hAnsiTheme="minorHAnsi" w:eastAsiaTheme="minorEastAsia" w:cstheme="minorBidi"/>
      <w:szCs w:val="22"/>
      <w14:ligatures w14:val="standardContextual"/>
    </w:rPr>
  </w:style>
  <w:style w:type="paragraph" w:styleId="24">
    <w:name w:val="Date"/>
    <w:basedOn w:val="1"/>
    <w:next w:val="1"/>
    <w:link w:val="83"/>
    <w:unhideWhenUsed/>
    <w:qFormat/>
    <w:uiPriority w:val="99"/>
    <w:pPr>
      <w:ind w:left="100" w:leftChars="2500"/>
    </w:pPr>
    <w:rPr>
      <w:rFonts w:ascii="Calibri" w:hAnsi="Calibri"/>
    </w:rPr>
  </w:style>
  <w:style w:type="paragraph" w:styleId="25">
    <w:name w:val="Body Text Indent 2"/>
    <w:basedOn w:val="1"/>
    <w:link w:val="74"/>
    <w:qFormat/>
    <w:uiPriority w:val="0"/>
    <w:pPr>
      <w:ind w:firstLine="540"/>
    </w:pPr>
    <w:rPr>
      <w:rFonts w:ascii="Calibri" w:hAnsi="Calibri"/>
      <w:szCs w:val="22"/>
    </w:rPr>
  </w:style>
  <w:style w:type="paragraph" w:styleId="26">
    <w:name w:val="endnote text"/>
    <w:basedOn w:val="1"/>
    <w:link w:val="168"/>
    <w:qFormat/>
    <w:uiPriority w:val="0"/>
    <w:pPr>
      <w:snapToGrid w:val="0"/>
      <w:spacing w:line="360" w:lineRule="atLeast"/>
      <w:ind w:left="425" w:hanging="425"/>
      <w:jc w:val="left"/>
    </w:pPr>
    <w:rPr>
      <w:kern w:val="21"/>
      <w:sz w:val="24"/>
      <w:szCs w:val="20"/>
    </w:rPr>
  </w:style>
  <w:style w:type="paragraph" w:styleId="27">
    <w:name w:val="Balloon Text"/>
    <w:basedOn w:val="1"/>
    <w:link w:val="86"/>
    <w:qFormat/>
    <w:uiPriority w:val="0"/>
    <w:rPr>
      <w:rFonts w:ascii="Calibri" w:hAnsi="Calibri" w:eastAsia="仿宋_GB2312"/>
      <w:sz w:val="18"/>
      <w:szCs w:val="18"/>
    </w:rPr>
  </w:style>
  <w:style w:type="paragraph" w:styleId="28">
    <w:name w:val="footer"/>
    <w:basedOn w:val="1"/>
    <w:link w:val="66"/>
    <w:unhideWhenUsed/>
    <w:qFormat/>
    <w:uiPriority w:val="99"/>
    <w:pPr>
      <w:tabs>
        <w:tab w:val="center" w:pos="4153"/>
        <w:tab w:val="right" w:pos="8306"/>
      </w:tabs>
      <w:snapToGrid w:val="0"/>
      <w:jc w:val="left"/>
    </w:pPr>
    <w:rPr>
      <w:rFonts w:ascii="Calibri" w:hAnsi="Calibri"/>
      <w:kern w:val="0"/>
      <w:sz w:val="18"/>
      <w:szCs w:val="18"/>
      <w:lang w:val="zh-CN" w:eastAsia="zh-CN"/>
    </w:rPr>
  </w:style>
  <w:style w:type="paragraph" w:styleId="29">
    <w:name w:val="header"/>
    <w:basedOn w:val="1"/>
    <w:link w:val="65"/>
    <w:unhideWhenUsed/>
    <w:qFormat/>
    <w:uiPriority w:val="99"/>
    <w:pPr>
      <w:pBdr>
        <w:bottom w:val="single" w:color="auto" w:sz="6" w:space="1"/>
      </w:pBdr>
      <w:tabs>
        <w:tab w:val="center" w:pos="4153"/>
        <w:tab w:val="right" w:pos="8306"/>
      </w:tabs>
      <w:snapToGrid w:val="0"/>
      <w:jc w:val="center"/>
    </w:pPr>
    <w:rPr>
      <w:rFonts w:ascii="Calibri" w:hAnsi="Calibri"/>
      <w:kern w:val="0"/>
      <w:sz w:val="18"/>
      <w:szCs w:val="18"/>
      <w:lang w:val="zh-CN" w:eastAsia="zh-CN"/>
    </w:rPr>
  </w:style>
  <w:style w:type="paragraph" w:styleId="30">
    <w:name w:val="toc 1"/>
    <w:basedOn w:val="1"/>
    <w:next w:val="1"/>
    <w:autoRedefine/>
    <w:unhideWhenUsed/>
    <w:qFormat/>
    <w:uiPriority w:val="39"/>
    <w:pPr>
      <w:widowControl/>
      <w:tabs>
        <w:tab w:val="left" w:pos="420"/>
        <w:tab w:val="right" w:leader="dot" w:pos="8494"/>
      </w:tabs>
      <w:jc w:val="left"/>
    </w:pPr>
    <w:rPr>
      <w:kern w:val="0"/>
      <w:sz w:val="24"/>
    </w:rPr>
  </w:style>
  <w:style w:type="paragraph" w:styleId="31">
    <w:name w:val="toc 4"/>
    <w:basedOn w:val="1"/>
    <w:next w:val="1"/>
    <w:autoRedefine/>
    <w:unhideWhenUsed/>
    <w:uiPriority w:val="39"/>
    <w:pPr>
      <w:ind w:left="1260" w:leftChars="600"/>
    </w:pPr>
    <w:rPr>
      <w:rFonts w:asciiTheme="minorHAnsi" w:hAnsiTheme="minorHAnsi" w:eastAsiaTheme="minorEastAsia" w:cstheme="minorBidi"/>
      <w:szCs w:val="22"/>
      <w14:ligatures w14:val="standardContextual"/>
    </w:rPr>
  </w:style>
  <w:style w:type="paragraph" w:styleId="32">
    <w:name w:val="Subtitle"/>
    <w:basedOn w:val="1"/>
    <w:next w:val="1"/>
    <w:link w:val="128"/>
    <w:qFormat/>
    <w:uiPriority w:val="0"/>
    <w:pPr>
      <w:spacing w:before="240" w:after="60" w:line="312" w:lineRule="auto"/>
      <w:jc w:val="center"/>
      <w:outlineLvl w:val="1"/>
    </w:pPr>
    <w:rPr>
      <w:rFonts w:ascii="Cambria" w:hAnsi="Cambria"/>
      <w:b/>
      <w:bCs/>
      <w:kern w:val="28"/>
      <w:sz w:val="32"/>
      <w:szCs w:val="32"/>
    </w:rPr>
  </w:style>
  <w:style w:type="paragraph" w:styleId="33">
    <w:name w:val="footnote text"/>
    <w:basedOn w:val="1"/>
    <w:link w:val="215"/>
    <w:uiPriority w:val="99"/>
    <w:pPr>
      <w:widowControl/>
      <w:jc w:val="left"/>
    </w:pPr>
    <w:rPr>
      <w:rFonts w:ascii="宋体" w:hAnsi="宋体" w:cs="宋体"/>
      <w:kern w:val="0"/>
      <w:sz w:val="20"/>
      <w:szCs w:val="20"/>
    </w:rPr>
  </w:style>
  <w:style w:type="paragraph" w:styleId="34">
    <w:name w:val="toc 6"/>
    <w:basedOn w:val="1"/>
    <w:next w:val="1"/>
    <w:autoRedefine/>
    <w:unhideWhenUsed/>
    <w:uiPriority w:val="39"/>
    <w:pPr>
      <w:ind w:left="2100" w:leftChars="1000"/>
    </w:pPr>
    <w:rPr>
      <w:rFonts w:asciiTheme="minorHAnsi" w:hAnsiTheme="minorHAnsi" w:eastAsiaTheme="minorEastAsia" w:cstheme="minorBidi"/>
      <w:szCs w:val="22"/>
      <w14:ligatures w14:val="standardContextual"/>
    </w:rPr>
  </w:style>
  <w:style w:type="paragraph" w:styleId="35">
    <w:name w:val="Body Text Indent 3"/>
    <w:basedOn w:val="1"/>
    <w:link w:val="170"/>
    <w:unhideWhenUsed/>
    <w:qFormat/>
    <w:uiPriority w:val="99"/>
    <w:pPr>
      <w:spacing w:after="120"/>
      <w:ind w:left="420" w:leftChars="200"/>
    </w:pPr>
    <w:rPr>
      <w:sz w:val="16"/>
      <w:szCs w:val="16"/>
    </w:rPr>
  </w:style>
  <w:style w:type="paragraph" w:styleId="36">
    <w:name w:val="table of figures"/>
    <w:basedOn w:val="1"/>
    <w:next w:val="1"/>
    <w:qFormat/>
    <w:uiPriority w:val="99"/>
    <w:pPr>
      <w:ind w:left="420" w:hanging="420"/>
      <w:jc w:val="left"/>
    </w:pPr>
    <w:rPr>
      <w:smallCaps/>
    </w:rPr>
  </w:style>
  <w:style w:type="paragraph" w:styleId="37">
    <w:name w:val="toc 2"/>
    <w:basedOn w:val="1"/>
    <w:next w:val="1"/>
    <w:autoRedefine/>
    <w:unhideWhenUsed/>
    <w:qFormat/>
    <w:uiPriority w:val="39"/>
    <w:pPr>
      <w:widowControl/>
      <w:ind w:left="420" w:leftChars="200"/>
      <w:jc w:val="left"/>
    </w:pPr>
    <w:rPr>
      <w:rFonts w:ascii="宋体" w:hAnsi="宋体" w:cs="宋体"/>
      <w:kern w:val="0"/>
      <w:sz w:val="24"/>
    </w:rPr>
  </w:style>
  <w:style w:type="paragraph" w:styleId="38">
    <w:name w:val="toc 9"/>
    <w:basedOn w:val="1"/>
    <w:next w:val="1"/>
    <w:autoRedefine/>
    <w:unhideWhenUsed/>
    <w:uiPriority w:val="39"/>
    <w:pPr>
      <w:ind w:left="3360" w:leftChars="1600"/>
    </w:pPr>
    <w:rPr>
      <w:rFonts w:asciiTheme="minorHAnsi" w:hAnsiTheme="minorHAnsi" w:eastAsiaTheme="minorEastAsia" w:cstheme="minorBidi"/>
      <w:szCs w:val="22"/>
      <w14:ligatures w14:val="standardContextual"/>
    </w:rPr>
  </w:style>
  <w:style w:type="paragraph" w:styleId="39">
    <w:name w:val="Body Text 2"/>
    <w:basedOn w:val="1"/>
    <w:link w:val="108"/>
    <w:qFormat/>
    <w:uiPriority w:val="0"/>
    <w:pPr>
      <w:jc w:val="center"/>
    </w:pPr>
    <w:rPr>
      <w:rFonts w:ascii="Calibri" w:hAnsi="Calibri"/>
    </w:rPr>
  </w:style>
  <w:style w:type="paragraph" w:styleId="40">
    <w:name w:val="HTML Preformatted"/>
    <w:basedOn w:val="1"/>
    <w:link w:val="216"/>
    <w:semiHidden/>
    <w:unhideWhenUsed/>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41">
    <w:name w:val="Normal (Web)"/>
    <w:basedOn w:val="1"/>
    <w:qFormat/>
    <w:uiPriority w:val="99"/>
    <w:pPr>
      <w:widowControl/>
      <w:spacing w:before="100" w:beforeAutospacing="1" w:after="100" w:afterAutospacing="1"/>
      <w:jc w:val="left"/>
    </w:pPr>
    <w:rPr>
      <w:rFonts w:hint="eastAsia" w:ascii="宋体" w:hAnsi="宋体"/>
      <w:kern w:val="0"/>
      <w:sz w:val="24"/>
    </w:rPr>
  </w:style>
  <w:style w:type="paragraph" w:styleId="42">
    <w:name w:val="Title"/>
    <w:basedOn w:val="1"/>
    <w:next w:val="1"/>
    <w:link w:val="110"/>
    <w:qFormat/>
    <w:uiPriority w:val="0"/>
    <w:pPr>
      <w:spacing w:before="240" w:after="60"/>
      <w:jc w:val="center"/>
      <w:outlineLvl w:val="0"/>
    </w:pPr>
    <w:rPr>
      <w:rFonts w:ascii="Cambria" w:hAnsi="Cambria"/>
      <w:b/>
      <w:bCs/>
      <w:sz w:val="32"/>
      <w:szCs w:val="32"/>
    </w:rPr>
  </w:style>
  <w:style w:type="paragraph" w:styleId="43">
    <w:name w:val="annotation subject"/>
    <w:basedOn w:val="17"/>
    <w:next w:val="17"/>
    <w:link w:val="80"/>
    <w:qFormat/>
    <w:uiPriority w:val="0"/>
    <w:rPr>
      <w:b/>
      <w:bCs/>
    </w:rPr>
  </w:style>
  <w:style w:type="paragraph" w:styleId="44">
    <w:name w:val="Body Text First Indent 2"/>
    <w:basedOn w:val="19"/>
    <w:link w:val="412"/>
    <w:unhideWhenUsed/>
    <w:qFormat/>
    <w:uiPriority w:val="0"/>
    <w:pPr>
      <w:ind w:firstLine="420" w:firstLineChars="200"/>
    </w:pPr>
  </w:style>
  <w:style w:type="table" w:styleId="46">
    <w:name w:val="Table Grid"/>
    <w:basedOn w:val="4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8">
    <w:name w:val="Strong"/>
    <w:qFormat/>
    <w:uiPriority w:val="22"/>
    <w:rPr>
      <w:b/>
      <w:bCs/>
    </w:rPr>
  </w:style>
  <w:style w:type="character" w:styleId="49">
    <w:name w:val="page number"/>
    <w:qFormat/>
    <w:uiPriority w:val="0"/>
  </w:style>
  <w:style w:type="character" w:styleId="50">
    <w:name w:val="FollowedHyperlink"/>
    <w:uiPriority w:val="99"/>
    <w:rPr>
      <w:color w:val="954F72"/>
      <w:u w:val="single"/>
    </w:rPr>
  </w:style>
  <w:style w:type="character" w:styleId="51">
    <w:name w:val="Emphasis"/>
    <w:qFormat/>
    <w:uiPriority w:val="0"/>
    <w:rPr>
      <w:i/>
      <w:iCs/>
    </w:rPr>
  </w:style>
  <w:style w:type="character" w:styleId="52">
    <w:name w:val="HTML Typewriter"/>
    <w:qFormat/>
    <w:uiPriority w:val="0"/>
    <w:rPr>
      <w:rFonts w:ascii="Arial Unicode MS" w:hAnsi="Arial Unicode MS" w:eastAsia="Arial Unicode MS" w:cs="黑体"/>
      <w:sz w:val="20"/>
      <w:szCs w:val="20"/>
    </w:rPr>
  </w:style>
  <w:style w:type="character" w:styleId="53">
    <w:name w:val="Hyperlink"/>
    <w:qFormat/>
    <w:uiPriority w:val="99"/>
    <w:rPr>
      <w:color w:val="0000FF"/>
      <w:u w:val="single"/>
    </w:rPr>
  </w:style>
  <w:style w:type="character" w:styleId="54">
    <w:name w:val="annotation reference"/>
    <w:qFormat/>
    <w:uiPriority w:val="0"/>
    <w:rPr>
      <w:sz w:val="21"/>
      <w:szCs w:val="21"/>
    </w:rPr>
  </w:style>
  <w:style w:type="character" w:styleId="55">
    <w:name w:val="footnote reference"/>
    <w:uiPriority w:val="99"/>
    <w:rPr>
      <w:vertAlign w:val="superscript"/>
    </w:rPr>
  </w:style>
  <w:style w:type="character" w:customStyle="1" w:styleId="56">
    <w:name w:val="标题 1 字符"/>
    <w:link w:val="2"/>
    <w:qFormat/>
    <w:uiPriority w:val="0"/>
    <w:rPr>
      <w:rFonts w:ascii="Times New Roman" w:hAnsi="Times New Roman" w:eastAsia="黑体"/>
      <w:bCs/>
      <w:kern w:val="44"/>
      <w:sz w:val="32"/>
      <w:szCs w:val="44"/>
      <w:lang w:val="zh-CN" w:eastAsia="zh-CN"/>
    </w:rPr>
  </w:style>
  <w:style w:type="character" w:customStyle="1" w:styleId="57">
    <w:name w:val="标题 2 字符"/>
    <w:link w:val="3"/>
    <w:qFormat/>
    <w:uiPriority w:val="0"/>
    <w:rPr>
      <w:rFonts w:ascii="Arial" w:hAnsi="Arial" w:eastAsia="黑体"/>
      <w:bCs/>
      <w:color w:val="000000"/>
      <w:sz w:val="30"/>
      <w:szCs w:val="32"/>
      <w:lang w:val="zh-CN" w:eastAsia="zh-CN"/>
    </w:rPr>
  </w:style>
  <w:style w:type="character" w:customStyle="1" w:styleId="58">
    <w:name w:val="标题 3 字符"/>
    <w:link w:val="4"/>
    <w:qFormat/>
    <w:uiPriority w:val="0"/>
    <w:rPr>
      <w:rFonts w:ascii="Times New Roman" w:hAnsi="Times New Roman" w:eastAsia="黑体"/>
      <w:bCs/>
      <w:sz w:val="28"/>
      <w:szCs w:val="28"/>
      <w:lang w:val="zh-CN" w:eastAsia="zh-CN"/>
    </w:rPr>
  </w:style>
  <w:style w:type="character" w:customStyle="1" w:styleId="59">
    <w:name w:val="标题 4 字符"/>
    <w:link w:val="5"/>
    <w:qFormat/>
    <w:uiPriority w:val="0"/>
    <w:rPr>
      <w:rFonts w:ascii="Times New Roman" w:hAnsi="Times New Roman"/>
      <w:b/>
      <w:bCs/>
      <w:sz w:val="24"/>
      <w:szCs w:val="28"/>
      <w:lang w:val="zh-CN" w:eastAsia="zh-CN"/>
    </w:rPr>
  </w:style>
  <w:style w:type="character" w:customStyle="1" w:styleId="60">
    <w:name w:val="标题 5 字符"/>
    <w:link w:val="6"/>
    <w:qFormat/>
    <w:uiPriority w:val="0"/>
    <w:rPr>
      <w:rFonts w:ascii="Times New Roman" w:hAnsi="Times New Roman"/>
      <w:b/>
      <w:bCs/>
      <w:color w:val="000000"/>
      <w:sz w:val="24"/>
      <w:szCs w:val="28"/>
      <w:lang w:val="zh-CN" w:eastAsia="zh-CN"/>
    </w:rPr>
  </w:style>
  <w:style w:type="character" w:customStyle="1" w:styleId="61">
    <w:name w:val="标题 6 字符"/>
    <w:link w:val="7"/>
    <w:qFormat/>
    <w:uiPriority w:val="0"/>
    <w:rPr>
      <w:rFonts w:ascii="Arial" w:hAnsi="Arial" w:eastAsia="黑体"/>
      <w:b/>
      <w:bCs/>
      <w:sz w:val="24"/>
      <w:szCs w:val="24"/>
      <w:lang w:val="zh-CN" w:eastAsia="zh-CN"/>
    </w:rPr>
  </w:style>
  <w:style w:type="character" w:customStyle="1" w:styleId="62">
    <w:name w:val="标题 7 字符"/>
    <w:link w:val="9"/>
    <w:qFormat/>
    <w:uiPriority w:val="0"/>
    <w:rPr>
      <w:rFonts w:ascii="Times New Roman" w:hAnsi="Times New Roman" w:eastAsia="宋体" w:cs="Times New Roman"/>
      <w:b/>
      <w:bCs/>
      <w:kern w:val="0"/>
      <w:sz w:val="24"/>
      <w:szCs w:val="24"/>
      <w:lang w:val="zh-CN" w:eastAsia="zh-CN"/>
    </w:rPr>
  </w:style>
  <w:style w:type="character" w:customStyle="1" w:styleId="63">
    <w:name w:val="标题 8 字符"/>
    <w:link w:val="10"/>
    <w:qFormat/>
    <w:uiPriority w:val="0"/>
    <w:rPr>
      <w:rFonts w:ascii="Cambria" w:hAnsi="Cambria" w:eastAsia="宋体" w:cs="Times New Roman"/>
      <w:kern w:val="0"/>
      <w:sz w:val="24"/>
      <w:szCs w:val="24"/>
      <w:lang w:val="zh-CN" w:eastAsia="zh-CN"/>
    </w:rPr>
  </w:style>
  <w:style w:type="character" w:customStyle="1" w:styleId="64">
    <w:name w:val="标题 9 字符"/>
    <w:link w:val="11"/>
    <w:qFormat/>
    <w:uiPriority w:val="0"/>
    <w:rPr>
      <w:rFonts w:ascii="Cambria" w:hAnsi="Cambria" w:eastAsia="宋体" w:cs="Times New Roman"/>
      <w:kern w:val="0"/>
      <w:sz w:val="20"/>
      <w:szCs w:val="21"/>
      <w:lang w:val="zh-CN" w:eastAsia="zh-CN"/>
    </w:rPr>
  </w:style>
  <w:style w:type="character" w:customStyle="1" w:styleId="65">
    <w:name w:val="页眉 字符"/>
    <w:link w:val="29"/>
    <w:qFormat/>
    <w:uiPriority w:val="99"/>
    <w:rPr>
      <w:rFonts w:ascii="Calibri" w:hAnsi="Calibri" w:eastAsia="宋体" w:cs="Times New Roman"/>
      <w:kern w:val="0"/>
      <w:sz w:val="18"/>
      <w:szCs w:val="18"/>
      <w:lang w:val="zh-CN" w:eastAsia="zh-CN"/>
    </w:rPr>
  </w:style>
  <w:style w:type="character" w:customStyle="1" w:styleId="66">
    <w:name w:val="页脚 字符1"/>
    <w:link w:val="28"/>
    <w:qFormat/>
    <w:uiPriority w:val="99"/>
    <w:rPr>
      <w:rFonts w:ascii="Calibri" w:hAnsi="Calibri" w:eastAsia="宋体" w:cs="Times New Roman"/>
      <w:kern w:val="0"/>
      <w:sz w:val="18"/>
      <w:szCs w:val="18"/>
      <w:lang w:val="zh-CN" w:eastAsia="zh-CN"/>
    </w:rPr>
  </w:style>
  <w:style w:type="character" w:customStyle="1" w:styleId="67">
    <w:name w:val="批注文字 字符"/>
    <w:link w:val="17"/>
    <w:qFormat/>
    <w:uiPriority w:val="0"/>
    <w:rPr>
      <w:rFonts w:eastAsia="仿宋_GB2312"/>
      <w:sz w:val="24"/>
      <w:szCs w:val="24"/>
    </w:rPr>
  </w:style>
  <w:style w:type="character" w:customStyle="1" w:styleId="68">
    <w:name w:val="批注文字 Char1"/>
    <w:qFormat/>
    <w:uiPriority w:val="99"/>
    <w:rPr>
      <w:rFonts w:ascii="Times New Roman" w:hAnsi="Times New Roman" w:eastAsia="宋体" w:cs="Times New Roman"/>
      <w:szCs w:val="24"/>
    </w:rPr>
  </w:style>
  <w:style w:type="character" w:customStyle="1" w:styleId="69">
    <w:name w:val="正文（陈1） Char Char"/>
    <w:link w:val="70"/>
    <w:qFormat/>
    <w:uiPriority w:val="0"/>
    <w:rPr>
      <w:rFonts w:cs="宋体"/>
      <w:sz w:val="28"/>
    </w:rPr>
  </w:style>
  <w:style w:type="paragraph" w:customStyle="1" w:styleId="70">
    <w:name w:val="正文（陈1）"/>
    <w:basedOn w:val="1"/>
    <w:link w:val="69"/>
    <w:qFormat/>
    <w:uiPriority w:val="0"/>
    <w:pPr>
      <w:spacing w:line="440" w:lineRule="exact"/>
      <w:ind w:firstLine="561"/>
    </w:pPr>
    <w:rPr>
      <w:rFonts w:ascii="Calibri" w:hAnsi="Calibri" w:cs="宋体"/>
      <w:sz w:val="28"/>
      <w:szCs w:val="22"/>
    </w:rPr>
  </w:style>
  <w:style w:type="character" w:customStyle="1" w:styleId="71">
    <w:name w:val="页脚 Char1"/>
    <w:qFormat/>
    <w:uiPriority w:val="0"/>
    <w:rPr>
      <w:rFonts w:eastAsia="宋体"/>
      <w:kern w:val="2"/>
      <w:sz w:val="18"/>
      <w:szCs w:val="18"/>
      <w:lang w:val="en-US" w:eastAsia="zh-CN" w:bidi="ar-SA"/>
    </w:rPr>
  </w:style>
  <w:style w:type="character" w:customStyle="1" w:styleId="72">
    <w:name w:val="正文缩进 字符"/>
    <w:link w:val="14"/>
    <w:qFormat/>
    <w:uiPriority w:val="0"/>
    <w:rPr>
      <w:kern w:val="21"/>
      <w:sz w:val="24"/>
    </w:rPr>
  </w:style>
  <w:style w:type="character" w:customStyle="1" w:styleId="73">
    <w:name w:val="环评正文 Char"/>
    <w:qFormat/>
    <w:uiPriority w:val="0"/>
    <w:rPr>
      <w:sz w:val="21"/>
      <w:szCs w:val="21"/>
      <w:lang w:val="en-US" w:eastAsia="zh-CN" w:bidi="en-US"/>
    </w:rPr>
  </w:style>
  <w:style w:type="character" w:customStyle="1" w:styleId="74">
    <w:name w:val="正文文本缩进 2 字符"/>
    <w:link w:val="25"/>
    <w:qFormat/>
    <w:uiPriority w:val="0"/>
  </w:style>
  <w:style w:type="character" w:customStyle="1" w:styleId="75">
    <w:name w:val="正文文本缩进 2 Char1"/>
    <w:qFormat/>
    <w:uiPriority w:val="99"/>
    <w:rPr>
      <w:rFonts w:ascii="Times New Roman" w:hAnsi="Times New Roman" w:eastAsia="宋体" w:cs="Times New Roman"/>
      <w:szCs w:val="24"/>
    </w:rPr>
  </w:style>
  <w:style w:type="character" w:customStyle="1" w:styleId="76">
    <w:name w:val="正文1 Char"/>
    <w:link w:val="77"/>
    <w:qFormat/>
    <w:uiPriority w:val="0"/>
    <w:rPr>
      <w:sz w:val="24"/>
      <w:szCs w:val="24"/>
    </w:rPr>
  </w:style>
  <w:style w:type="paragraph" w:customStyle="1" w:styleId="77">
    <w:name w:val="正文1"/>
    <w:basedOn w:val="1"/>
    <w:link w:val="76"/>
    <w:qFormat/>
    <w:uiPriority w:val="0"/>
    <w:pPr>
      <w:spacing w:before="156" w:beforeLines="50" w:after="156" w:afterLines="50" w:line="360" w:lineRule="auto"/>
      <w:ind w:firstLine="480" w:firstLineChars="200"/>
    </w:pPr>
    <w:rPr>
      <w:rFonts w:ascii="Calibri" w:hAnsi="Calibri"/>
      <w:sz w:val="24"/>
    </w:rPr>
  </w:style>
  <w:style w:type="character" w:customStyle="1" w:styleId="78">
    <w:name w:val="列出段落 Char"/>
    <w:link w:val="79"/>
    <w:qFormat/>
    <w:uiPriority w:val="0"/>
    <w:rPr>
      <w:rFonts w:ascii="Calibri" w:hAnsi="Calibri"/>
      <w:sz w:val="28"/>
      <w:szCs w:val="21"/>
      <w:lang w:eastAsia="en-US" w:bidi="en-US"/>
    </w:rPr>
  </w:style>
  <w:style w:type="paragraph" w:customStyle="1" w:styleId="79">
    <w:name w:val="列出段落"/>
    <w:basedOn w:val="1"/>
    <w:link w:val="78"/>
    <w:qFormat/>
    <w:uiPriority w:val="0"/>
    <w:pPr>
      <w:widowControl/>
      <w:spacing w:after="200" w:line="276" w:lineRule="auto"/>
      <w:ind w:left="150" w:firstLine="420" w:firstLineChars="200"/>
      <w:jc w:val="left"/>
    </w:pPr>
    <w:rPr>
      <w:rFonts w:ascii="Calibri" w:hAnsi="Calibri"/>
      <w:sz w:val="28"/>
      <w:szCs w:val="21"/>
      <w:lang w:eastAsia="en-US" w:bidi="en-US"/>
    </w:rPr>
  </w:style>
  <w:style w:type="character" w:customStyle="1" w:styleId="80">
    <w:name w:val="批注主题 字符"/>
    <w:link w:val="43"/>
    <w:qFormat/>
    <w:uiPriority w:val="0"/>
    <w:rPr>
      <w:rFonts w:eastAsia="仿宋_GB2312"/>
      <w:b/>
      <w:bCs/>
      <w:sz w:val="24"/>
      <w:szCs w:val="24"/>
    </w:rPr>
  </w:style>
  <w:style w:type="character" w:customStyle="1" w:styleId="81">
    <w:name w:val="批注主题 Char1"/>
    <w:qFormat/>
    <w:uiPriority w:val="99"/>
    <w:rPr>
      <w:rFonts w:ascii="Times New Roman" w:hAnsi="Times New Roman" w:eastAsia="宋体" w:cs="Times New Roman"/>
      <w:b/>
      <w:bCs/>
      <w:szCs w:val="24"/>
    </w:rPr>
  </w:style>
  <w:style w:type="character" w:customStyle="1" w:styleId="82">
    <w:name w:val="题注 字符1"/>
    <w:link w:val="15"/>
    <w:qFormat/>
    <w:uiPriority w:val="0"/>
    <w:rPr>
      <w:rFonts w:ascii="Times New Roman" w:hAnsi="Times New Roman"/>
      <w:b/>
      <w:kern w:val="2"/>
      <w:sz w:val="24"/>
      <w:szCs w:val="32"/>
    </w:rPr>
  </w:style>
  <w:style w:type="character" w:customStyle="1" w:styleId="83">
    <w:name w:val="日期 字符"/>
    <w:link w:val="24"/>
    <w:qFormat/>
    <w:uiPriority w:val="99"/>
    <w:rPr>
      <w:szCs w:val="24"/>
    </w:rPr>
  </w:style>
  <w:style w:type="character" w:customStyle="1" w:styleId="84">
    <w:name w:val="日期 Char1"/>
    <w:qFormat/>
    <w:uiPriority w:val="99"/>
    <w:rPr>
      <w:rFonts w:ascii="Times New Roman" w:hAnsi="Times New Roman" w:eastAsia="宋体" w:cs="Times New Roman"/>
      <w:szCs w:val="24"/>
    </w:rPr>
  </w:style>
  <w:style w:type="character" w:customStyle="1" w:styleId="85">
    <w:name w:val="Subtle Reference"/>
    <w:qFormat/>
    <w:uiPriority w:val="0"/>
    <w:rPr>
      <w:smallCaps/>
      <w:color w:val="C0504D"/>
      <w:u w:val="single"/>
    </w:rPr>
  </w:style>
  <w:style w:type="character" w:customStyle="1" w:styleId="86">
    <w:name w:val="批注框文本 字符"/>
    <w:link w:val="27"/>
    <w:qFormat/>
    <w:uiPriority w:val="0"/>
    <w:rPr>
      <w:rFonts w:eastAsia="仿宋_GB2312"/>
      <w:sz w:val="18"/>
      <w:szCs w:val="18"/>
    </w:rPr>
  </w:style>
  <w:style w:type="character" w:customStyle="1" w:styleId="87">
    <w:name w:val="批注框文本 Char1"/>
    <w:qFormat/>
    <w:uiPriority w:val="99"/>
    <w:rPr>
      <w:rFonts w:ascii="Times New Roman" w:hAnsi="Times New Roman" w:eastAsia="宋体" w:cs="Times New Roman"/>
      <w:sz w:val="18"/>
      <w:szCs w:val="18"/>
    </w:rPr>
  </w:style>
  <w:style w:type="character" w:customStyle="1" w:styleId="88">
    <w:name w:val="Intense Reference"/>
    <w:qFormat/>
    <w:uiPriority w:val="0"/>
    <w:rPr>
      <w:b/>
      <w:bCs/>
      <w:smallCaps/>
      <w:color w:val="C0504D"/>
      <w:spacing w:val="5"/>
      <w:u w:val="single"/>
    </w:rPr>
  </w:style>
  <w:style w:type="character" w:customStyle="1" w:styleId="89">
    <w:name w:val="正文首行缩进 2 Char"/>
    <w:link w:val="90"/>
    <w:qFormat/>
    <w:uiPriority w:val="0"/>
    <w:rPr>
      <w:rFonts w:ascii="Calibri" w:hAnsi="Calibri"/>
      <w:sz w:val="24"/>
      <w:szCs w:val="21"/>
    </w:rPr>
  </w:style>
  <w:style w:type="paragraph" w:customStyle="1" w:styleId="90">
    <w:name w:val="正文首行缩进 211"/>
    <w:basedOn w:val="19"/>
    <w:link w:val="89"/>
    <w:qFormat/>
    <w:uiPriority w:val="0"/>
    <w:pPr>
      <w:ind w:firstLine="420" w:firstLineChars="200"/>
    </w:pPr>
    <w:rPr>
      <w:rFonts w:ascii="Calibri" w:hAnsi="Calibri"/>
      <w:sz w:val="24"/>
      <w:szCs w:val="21"/>
    </w:rPr>
  </w:style>
  <w:style w:type="character" w:customStyle="1" w:styleId="91">
    <w:name w:val="正文文本缩进 字符"/>
    <w:link w:val="19"/>
    <w:qFormat/>
    <w:uiPriority w:val="99"/>
    <w:rPr>
      <w:rFonts w:ascii="Times New Roman" w:hAnsi="Times New Roman" w:eastAsia="宋体" w:cs="Times New Roman"/>
      <w:szCs w:val="24"/>
    </w:rPr>
  </w:style>
  <w:style w:type="character" w:customStyle="1" w:styleId="92">
    <w:name w:val="正文首行缩进 2 Char1"/>
    <w:basedOn w:val="91"/>
    <w:qFormat/>
    <w:uiPriority w:val="99"/>
    <w:rPr>
      <w:rFonts w:ascii="Times New Roman" w:hAnsi="Times New Roman" w:eastAsia="宋体" w:cs="Times New Roman"/>
      <w:szCs w:val="24"/>
    </w:rPr>
  </w:style>
  <w:style w:type="character" w:customStyle="1" w:styleId="93">
    <w:name w:val="引用 字符"/>
    <w:link w:val="94"/>
    <w:qFormat/>
    <w:uiPriority w:val="0"/>
    <w:rPr>
      <w:i/>
      <w:iCs/>
      <w:color w:val="000000"/>
      <w:szCs w:val="24"/>
    </w:rPr>
  </w:style>
  <w:style w:type="paragraph" w:styleId="94">
    <w:name w:val="Quote"/>
    <w:basedOn w:val="1"/>
    <w:next w:val="1"/>
    <w:link w:val="93"/>
    <w:qFormat/>
    <w:uiPriority w:val="0"/>
    <w:rPr>
      <w:rFonts w:ascii="Calibri" w:hAnsi="Calibri"/>
      <w:i/>
      <w:iCs/>
      <w:color w:val="000000"/>
    </w:rPr>
  </w:style>
  <w:style w:type="character" w:customStyle="1" w:styleId="95">
    <w:name w:val="引用 Char1"/>
    <w:qFormat/>
    <w:uiPriority w:val="29"/>
    <w:rPr>
      <w:rFonts w:ascii="Times New Roman" w:hAnsi="Times New Roman" w:eastAsia="宋体" w:cs="Times New Roman"/>
      <w:i/>
      <w:iCs/>
      <w:color w:val="404040"/>
      <w:szCs w:val="24"/>
    </w:rPr>
  </w:style>
  <w:style w:type="character" w:customStyle="1" w:styleId="96">
    <w:name w:val="表中文字2 Char Char"/>
    <w:link w:val="97"/>
    <w:qFormat/>
    <w:uiPriority w:val="0"/>
    <w:rPr>
      <w:rFonts w:ascii="黑体" w:eastAsia="黑体"/>
      <w:szCs w:val="21"/>
    </w:rPr>
  </w:style>
  <w:style w:type="paragraph" w:customStyle="1" w:styleId="97">
    <w:name w:val="表中文字2"/>
    <w:basedOn w:val="98"/>
    <w:link w:val="96"/>
    <w:qFormat/>
    <w:uiPriority w:val="0"/>
    <w:pPr>
      <w:adjustRightInd w:val="0"/>
      <w:snapToGrid w:val="0"/>
      <w:jc w:val="left"/>
    </w:pPr>
    <w:rPr>
      <w:rFonts w:eastAsia="黑体"/>
      <w:kern w:val="2"/>
      <w:sz w:val="21"/>
      <w:szCs w:val="21"/>
    </w:rPr>
  </w:style>
  <w:style w:type="paragraph" w:styleId="98">
    <w:name w:val="No Spacing"/>
    <w:link w:val="99"/>
    <w:qFormat/>
    <w:uiPriority w:val="1"/>
    <w:pPr>
      <w:widowControl w:val="0"/>
      <w:jc w:val="both"/>
    </w:pPr>
    <w:rPr>
      <w:rFonts w:ascii="黑体" w:hAnsi="Calibri" w:eastAsia="宋体" w:cs="Times New Roman"/>
      <w:szCs w:val="24"/>
      <w:lang w:val="en-US" w:eastAsia="zh-CN" w:bidi="ar-SA"/>
    </w:rPr>
  </w:style>
  <w:style w:type="character" w:customStyle="1" w:styleId="99">
    <w:name w:val="无间隔 字符"/>
    <w:link w:val="98"/>
    <w:qFormat/>
    <w:uiPriority w:val="1"/>
    <w:rPr>
      <w:rFonts w:ascii="黑体" w:hAnsi="Calibri" w:eastAsia="宋体" w:cs="Times New Roman"/>
      <w:kern w:val="0"/>
      <w:sz w:val="20"/>
      <w:szCs w:val="24"/>
    </w:rPr>
  </w:style>
  <w:style w:type="character" w:customStyle="1" w:styleId="100">
    <w:name w:val="Subtle Emphasis"/>
    <w:qFormat/>
    <w:uiPriority w:val="0"/>
    <w:rPr>
      <w:i/>
      <w:iCs/>
      <w:color w:val="808080"/>
    </w:rPr>
  </w:style>
  <w:style w:type="character" w:customStyle="1" w:styleId="101">
    <w:name w:val="表中文字1 Char Char"/>
    <w:link w:val="102"/>
    <w:qFormat/>
    <w:uiPriority w:val="0"/>
    <w:rPr>
      <w:position w:val="-24"/>
      <w:szCs w:val="21"/>
    </w:rPr>
  </w:style>
  <w:style w:type="paragraph" w:customStyle="1" w:styleId="102">
    <w:name w:val="表中文字1"/>
    <w:basedOn w:val="1"/>
    <w:link w:val="101"/>
    <w:qFormat/>
    <w:uiPriority w:val="0"/>
    <w:pPr>
      <w:adjustRightInd w:val="0"/>
      <w:snapToGrid w:val="0"/>
      <w:jc w:val="left"/>
    </w:pPr>
    <w:rPr>
      <w:rFonts w:ascii="Calibri" w:hAnsi="Calibri"/>
      <w:position w:val="-24"/>
      <w:szCs w:val="21"/>
    </w:rPr>
  </w:style>
  <w:style w:type="character" w:customStyle="1" w:styleId="103">
    <w:name w:val="文档结构图 字符"/>
    <w:link w:val="16"/>
    <w:qFormat/>
    <w:uiPriority w:val="0"/>
    <w:rPr>
      <w:rFonts w:ascii="宋体"/>
      <w:sz w:val="18"/>
      <w:szCs w:val="18"/>
    </w:rPr>
  </w:style>
  <w:style w:type="character" w:customStyle="1" w:styleId="104">
    <w:name w:val="文档结构图 Char1"/>
    <w:qFormat/>
    <w:uiPriority w:val="99"/>
    <w:rPr>
      <w:rFonts w:ascii="Microsoft YaHei UI" w:hAnsi="Times New Roman" w:eastAsia="Microsoft YaHei UI" w:cs="Times New Roman"/>
      <w:sz w:val="18"/>
      <w:szCs w:val="18"/>
    </w:rPr>
  </w:style>
  <w:style w:type="character" w:customStyle="1" w:styleId="105">
    <w:name w:val="Intense Emphasis"/>
    <w:qFormat/>
    <w:uiPriority w:val="0"/>
    <w:rPr>
      <w:b/>
      <w:bCs/>
      <w:i/>
      <w:iCs/>
      <w:color w:val="4F81BD"/>
    </w:rPr>
  </w:style>
  <w:style w:type="character" w:customStyle="1" w:styleId="106">
    <w:name w:val="表中文字 Char Char"/>
    <w:link w:val="107"/>
    <w:qFormat/>
    <w:uiPriority w:val="0"/>
    <w:rPr>
      <w:szCs w:val="21"/>
    </w:rPr>
  </w:style>
  <w:style w:type="paragraph" w:customStyle="1" w:styleId="107">
    <w:name w:val="表中文字"/>
    <w:basedOn w:val="1"/>
    <w:link w:val="106"/>
    <w:qFormat/>
    <w:uiPriority w:val="0"/>
    <w:pPr>
      <w:snapToGrid w:val="0"/>
      <w:spacing w:line="360" w:lineRule="auto"/>
      <w:jc w:val="center"/>
    </w:pPr>
    <w:rPr>
      <w:rFonts w:ascii="Calibri" w:hAnsi="Calibri"/>
      <w:szCs w:val="21"/>
    </w:rPr>
  </w:style>
  <w:style w:type="character" w:customStyle="1" w:styleId="108">
    <w:name w:val="正文文本 2 字符"/>
    <w:link w:val="39"/>
    <w:qFormat/>
    <w:uiPriority w:val="0"/>
    <w:rPr>
      <w:szCs w:val="24"/>
    </w:rPr>
  </w:style>
  <w:style w:type="character" w:customStyle="1" w:styleId="109">
    <w:name w:val="正文文本 2 Char1"/>
    <w:qFormat/>
    <w:uiPriority w:val="99"/>
    <w:rPr>
      <w:rFonts w:ascii="Times New Roman" w:hAnsi="Times New Roman" w:eastAsia="宋体" w:cs="Times New Roman"/>
      <w:szCs w:val="24"/>
    </w:rPr>
  </w:style>
  <w:style w:type="character" w:customStyle="1" w:styleId="110">
    <w:name w:val="标题 字符"/>
    <w:link w:val="42"/>
    <w:qFormat/>
    <w:uiPriority w:val="0"/>
    <w:rPr>
      <w:rFonts w:ascii="Cambria" w:hAnsi="Cambria"/>
      <w:b/>
      <w:bCs/>
      <w:sz w:val="32"/>
      <w:szCs w:val="32"/>
    </w:rPr>
  </w:style>
  <w:style w:type="character" w:customStyle="1" w:styleId="111">
    <w:name w:val="标题 Char1"/>
    <w:qFormat/>
    <w:uiPriority w:val="10"/>
    <w:rPr>
      <w:rFonts w:ascii="Calibri Light" w:hAnsi="Calibri Light" w:eastAsia="宋体" w:cs="Times New Roman"/>
      <w:b/>
      <w:bCs/>
      <w:sz w:val="32"/>
      <w:szCs w:val="32"/>
    </w:rPr>
  </w:style>
  <w:style w:type="character" w:customStyle="1" w:styleId="112">
    <w:name w:val="纯文本 字符"/>
    <w:link w:val="22"/>
    <w:qFormat/>
    <w:uiPriority w:val="0"/>
    <w:rPr>
      <w:rFonts w:ascii="宋体" w:hAnsi="Courier New" w:cs="Courier New"/>
      <w:szCs w:val="21"/>
    </w:rPr>
  </w:style>
  <w:style w:type="character" w:customStyle="1" w:styleId="113">
    <w:name w:val="纯文本 Char1"/>
    <w:qFormat/>
    <w:uiPriority w:val="0"/>
    <w:rPr>
      <w:rFonts w:ascii="宋体" w:hAnsi="Courier New" w:eastAsia="宋体" w:cs="Courier New"/>
      <w:szCs w:val="21"/>
    </w:rPr>
  </w:style>
  <w:style w:type="character" w:customStyle="1" w:styleId="114">
    <w:name w:val="Book Title"/>
    <w:qFormat/>
    <w:uiPriority w:val="0"/>
    <w:rPr>
      <w:b/>
      <w:bCs/>
      <w:smallCaps/>
      <w:spacing w:val="5"/>
    </w:rPr>
  </w:style>
  <w:style w:type="character" w:customStyle="1" w:styleId="115">
    <w:name w:val="小节 Char Char"/>
    <w:link w:val="116"/>
    <w:qFormat/>
    <w:uiPriority w:val="0"/>
    <w:rPr>
      <w:rFonts w:eastAsia="黑体"/>
      <w:sz w:val="24"/>
      <w:szCs w:val="18"/>
    </w:rPr>
  </w:style>
  <w:style w:type="paragraph" w:customStyle="1" w:styleId="116">
    <w:name w:val="小节"/>
    <w:basedOn w:val="117"/>
    <w:link w:val="115"/>
    <w:qFormat/>
    <w:uiPriority w:val="0"/>
    <w:pPr>
      <w:adjustRightInd w:val="0"/>
      <w:snapToGrid w:val="0"/>
      <w:spacing w:before="120" w:after="120" w:line="360" w:lineRule="atLeast"/>
      <w:ind w:left="0" w:leftChars="0"/>
      <w:jc w:val="left"/>
      <w:textAlignment w:val="baseline"/>
    </w:pPr>
    <w:rPr>
      <w:rFonts w:ascii="Calibri" w:hAnsi="Calibri" w:eastAsia="黑体"/>
      <w:sz w:val="24"/>
      <w:szCs w:val="18"/>
    </w:rPr>
  </w:style>
  <w:style w:type="paragraph" w:customStyle="1" w:styleId="117">
    <w:name w:val="目录 311"/>
    <w:basedOn w:val="1"/>
    <w:next w:val="1"/>
    <w:qFormat/>
    <w:uiPriority w:val="39"/>
    <w:pPr>
      <w:ind w:left="840" w:leftChars="400"/>
    </w:pPr>
  </w:style>
  <w:style w:type="character" w:customStyle="1" w:styleId="118">
    <w:name w:val="明显引用 字符"/>
    <w:link w:val="119"/>
    <w:qFormat/>
    <w:uiPriority w:val="0"/>
    <w:rPr>
      <w:b/>
      <w:bCs/>
      <w:i/>
      <w:iCs/>
      <w:color w:val="4F81BD"/>
      <w:szCs w:val="24"/>
    </w:rPr>
  </w:style>
  <w:style w:type="paragraph" w:styleId="119">
    <w:name w:val="Intense Quote"/>
    <w:basedOn w:val="1"/>
    <w:next w:val="1"/>
    <w:link w:val="118"/>
    <w:qFormat/>
    <w:uiPriority w:val="0"/>
    <w:pPr>
      <w:pBdr>
        <w:bottom w:val="single" w:color="4F81BD" w:sz="4" w:space="4"/>
      </w:pBdr>
      <w:spacing w:before="200" w:after="280"/>
      <w:ind w:left="936" w:right="936"/>
    </w:pPr>
    <w:rPr>
      <w:rFonts w:ascii="Calibri" w:hAnsi="Calibri"/>
      <w:b/>
      <w:bCs/>
      <w:i/>
      <w:iCs/>
      <w:color w:val="4F81BD"/>
    </w:rPr>
  </w:style>
  <w:style w:type="character" w:customStyle="1" w:styleId="120">
    <w:name w:val="明显引用 Char1"/>
    <w:qFormat/>
    <w:uiPriority w:val="30"/>
    <w:rPr>
      <w:rFonts w:ascii="Times New Roman" w:hAnsi="Times New Roman" w:eastAsia="宋体" w:cs="Times New Roman"/>
      <w:i/>
      <w:iCs/>
      <w:color w:val="5B9BD5"/>
      <w:szCs w:val="24"/>
    </w:rPr>
  </w:style>
  <w:style w:type="character" w:customStyle="1" w:styleId="121">
    <w:name w:val="备注 Char Char"/>
    <w:link w:val="122"/>
    <w:qFormat/>
    <w:uiPriority w:val="0"/>
    <w:rPr>
      <w:sz w:val="18"/>
      <w:szCs w:val="18"/>
    </w:rPr>
  </w:style>
  <w:style w:type="paragraph" w:customStyle="1" w:styleId="122">
    <w:name w:val="备注"/>
    <w:basedOn w:val="1"/>
    <w:link w:val="121"/>
    <w:qFormat/>
    <w:uiPriority w:val="0"/>
    <w:pPr>
      <w:spacing w:line="360" w:lineRule="auto"/>
    </w:pPr>
    <w:rPr>
      <w:rFonts w:ascii="Calibri" w:hAnsi="Calibri"/>
      <w:sz w:val="18"/>
      <w:szCs w:val="18"/>
    </w:rPr>
  </w:style>
  <w:style w:type="character" w:customStyle="1" w:styleId="123">
    <w:name w:val="表中内容 Char Char"/>
    <w:link w:val="124"/>
    <w:qFormat/>
    <w:uiPriority w:val="0"/>
    <w:rPr>
      <w:szCs w:val="21"/>
    </w:rPr>
  </w:style>
  <w:style w:type="paragraph" w:customStyle="1" w:styleId="124">
    <w:name w:val="表中内容"/>
    <w:basedOn w:val="1"/>
    <w:link w:val="123"/>
    <w:qFormat/>
    <w:uiPriority w:val="0"/>
    <w:pPr>
      <w:spacing w:line="360" w:lineRule="auto"/>
      <w:jc w:val="left"/>
    </w:pPr>
    <w:rPr>
      <w:rFonts w:ascii="Calibri" w:hAnsi="Calibri"/>
      <w:szCs w:val="21"/>
    </w:rPr>
  </w:style>
  <w:style w:type="character" w:customStyle="1" w:styleId="125">
    <w:name w:val="环评正文 Char Char"/>
    <w:link w:val="8"/>
    <w:qFormat/>
    <w:uiPriority w:val="0"/>
    <w:rPr>
      <w:rFonts w:ascii="Times New Roman" w:hAnsi="Times New Roman"/>
      <w:color w:val="000000"/>
      <w:sz w:val="24"/>
      <w:szCs w:val="24"/>
      <w:lang w:val="zh-CN" w:eastAsia="zh-CN"/>
    </w:rPr>
  </w:style>
  <w:style w:type="character" w:customStyle="1" w:styleId="126">
    <w:name w:val="样式 题注 + 小四 首行缩进:  2 字符 Char Char"/>
    <w:link w:val="127"/>
    <w:qFormat/>
    <w:uiPriority w:val="0"/>
    <w:rPr>
      <w:rFonts w:eastAsia="黑体"/>
      <w:sz w:val="24"/>
    </w:rPr>
  </w:style>
  <w:style w:type="paragraph" w:customStyle="1" w:styleId="127">
    <w:name w:val="样式 题注 + 小四 首行缩进:  2 字符"/>
    <w:basedOn w:val="15"/>
    <w:link w:val="126"/>
    <w:qFormat/>
    <w:uiPriority w:val="0"/>
    <w:pPr>
      <w:spacing w:beforeLines="0" w:afterLines="0"/>
    </w:pPr>
    <w:rPr>
      <w:rFonts w:eastAsia="黑体"/>
      <w:b w:val="0"/>
      <w:szCs w:val="22"/>
    </w:rPr>
  </w:style>
  <w:style w:type="character" w:customStyle="1" w:styleId="128">
    <w:name w:val="副标题 字符"/>
    <w:link w:val="32"/>
    <w:qFormat/>
    <w:uiPriority w:val="0"/>
    <w:rPr>
      <w:rFonts w:ascii="Cambria" w:hAnsi="Cambria"/>
      <w:b/>
      <w:bCs/>
      <w:kern w:val="28"/>
      <w:sz w:val="32"/>
      <w:szCs w:val="32"/>
    </w:rPr>
  </w:style>
  <w:style w:type="character" w:customStyle="1" w:styleId="129">
    <w:name w:val="副标题 Char1"/>
    <w:qFormat/>
    <w:uiPriority w:val="11"/>
    <w:rPr>
      <w:rFonts w:ascii="Calibri Light" w:hAnsi="Calibri Light" w:eastAsia="宋体" w:cs="Times New Roman"/>
      <w:b/>
      <w:bCs/>
      <w:kern w:val="28"/>
      <w:sz w:val="32"/>
      <w:szCs w:val="32"/>
    </w:rPr>
  </w:style>
  <w:style w:type="character" w:customStyle="1" w:styleId="130">
    <w:name w:val="页眉 Char1"/>
    <w:qFormat/>
    <w:uiPriority w:val="0"/>
    <w:rPr>
      <w:rFonts w:eastAsia="宋体"/>
      <w:kern w:val="2"/>
      <w:sz w:val="18"/>
      <w:szCs w:val="18"/>
      <w:lang w:val="en-US" w:eastAsia="zh-CN" w:bidi="ar-SA"/>
    </w:rPr>
  </w:style>
  <w:style w:type="character" w:customStyle="1" w:styleId="131">
    <w:name w:val="图位置 Char Char"/>
    <w:link w:val="132"/>
    <w:qFormat/>
    <w:uiPriority w:val="0"/>
    <w:rPr>
      <w:rFonts w:ascii="宋体" w:hAnsi="Courier New" w:cs="Courier New"/>
      <w:sz w:val="24"/>
      <w:szCs w:val="24"/>
    </w:rPr>
  </w:style>
  <w:style w:type="paragraph" w:customStyle="1" w:styleId="132">
    <w:name w:val="图位置"/>
    <w:basedOn w:val="22"/>
    <w:link w:val="131"/>
    <w:qFormat/>
    <w:uiPriority w:val="0"/>
    <w:pPr>
      <w:spacing w:line="360" w:lineRule="auto"/>
      <w:jc w:val="center"/>
    </w:pPr>
    <w:rPr>
      <w:sz w:val="24"/>
      <w:szCs w:val="24"/>
    </w:rPr>
  </w:style>
  <w:style w:type="character" w:customStyle="1" w:styleId="133">
    <w:name w:val="安分正文 Char Char"/>
    <w:link w:val="134"/>
    <w:qFormat/>
    <w:uiPriority w:val="0"/>
    <w:rPr>
      <w:sz w:val="28"/>
      <w:szCs w:val="28"/>
      <w:lang w:val="en-US" w:eastAsia="zh-CN" w:bidi="en-US"/>
    </w:rPr>
  </w:style>
  <w:style w:type="paragraph" w:customStyle="1" w:styleId="134">
    <w:name w:val="安分正文"/>
    <w:basedOn w:val="1"/>
    <w:link w:val="133"/>
    <w:qFormat/>
    <w:uiPriority w:val="0"/>
    <w:pPr>
      <w:spacing w:before="156" w:beforeLines="50" w:after="156" w:afterLines="50" w:line="360" w:lineRule="auto"/>
      <w:ind w:firstLine="480" w:firstLineChars="200"/>
    </w:pPr>
    <w:rPr>
      <w:rFonts w:ascii="Calibri" w:hAnsi="Calibri"/>
      <w:sz w:val="28"/>
      <w:szCs w:val="28"/>
      <w:lang w:bidi="en-US"/>
    </w:rPr>
  </w:style>
  <w:style w:type="paragraph" w:customStyle="1" w:styleId="135">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 w:type="paragraph" w:customStyle="1" w:styleId="136">
    <w:name w:val="标题2（陈）"/>
    <w:basedOn w:val="2"/>
    <w:qFormat/>
    <w:uiPriority w:val="0"/>
    <w:pPr>
      <w:numPr>
        <w:numId w:val="0"/>
      </w:numPr>
      <w:spacing w:line="578" w:lineRule="auto"/>
    </w:pPr>
    <w:rPr>
      <w:rFonts w:ascii="Arial" w:hAnsi="Arial" w:eastAsia="宋体" w:cs="Arial"/>
      <w:b/>
      <w:bCs w:val="0"/>
      <w:sz w:val="30"/>
      <w:szCs w:val="32"/>
    </w:rPr>
  </w:style>
  <w:style w:type="paragraph" w:customStyle="1" w:styleId="137">
    <w:name w:val="表格内文字"/>
    <w:basedOn w:val="1"/>
    <w:qFormat/>
    <w:uiPriority w:val="0"/>
    <w:pPr>
      <w:spacing w:before="100" w:after="100" w:line="320" w:lineRule="exact"/>
      <w:jc w:val="center"/>
    </w:pPr>
    <w:rPr>
      <w:spacing w:val="10"/>
      <w:sz w:val="24"/>
      <w:szCs w:val="20"/>
    </w:rPr>
  </w:style>
  <w:style w:type="paragraph" w:customStyle="1" w:styleId="138">
    <w:name w:val="目录 511"/>
    <w:basedOn w:val="1"/>
    <w:next w:val="1"/>
    <w:qFormat/>
    <w:uiPriority w:val="39"/>
    <w:pPr>
      <w:ind w:left="1680" w:leftChars="800"/>
    </w:pPr>
    <w:rPr>
      <w:rFonts w:ascii="Calibri" w:hAnsi="Calibri"/>
      <w:szCs w:val="22"/>
    </w:rPr>
  </w:style>
  <w:style w:type="paragraph" w:customStyle="1" w:styleId="139">
    <w:name w:val="目录 911"/>
    <w:basedOn w:val="1"/>
    <w:next w:val="1"/>
    <w:qFormat/>
    <w:uiPriority w:val="39"/>
    <w:pPr>
      <w:ind w:left="3360" w:leftChars="1600"/>
    </w:pPr>
    <w:rPr>
      <w:rFonts w:ascii="Calibri" w:hAnsi="Calibri"/>
      <w:szCs w:val="22"/>
    </w:rPr>
  </w:style>
  <w:style w:type="paragraph" w:customStyle="1" w:styleId="140">
    <w:name w:val="目录 111"/>
    <w:basedOn w:val="1"/>
    <w:next w:val="1"/>
    <w:qFormat/>
    <w:uiPriority w:val="39"/>
    <w:pPr>
      <w:spacing w:before="120" w:after="120"/>
      <w:jc w:val="left"/>
    </w:pPr>
    <w:rPr>
      <w:rFonts w:ascii="Calibri" w:hAnsi="Calibri"/>
      <w:b/>
      <w:bCs/>
      <w:caps/>
      <w:sz w:val="20"/>
      <w:szCs w:val="20"/>
    </w:rPr>
  </w:style>
  <w:style w:type="paragraph" w:customStyle="1" w:styleId="141">
    <w:name w:val="CM1"/>
    <w:basedOn w:val="1"/>
    <w:next w:val="1"/>
    <w:qFormat/>
    <w:uiPriority w:val="0"/>
    <w:pPr>
      <w:autoSpaceDE w:val="0"/>
      <w:autoSpaceDN w:val="0"/>
      <w:adjustRightInd w:val="0"/>
      <w:spacing w:line="471" w:lineRule="atLeast"/>
      <w:jc w:val="left"/>
    </w:pPr>
    <w:rPr>
      <w:rFonts w:ascii="oúì." w:eastAsia="oúì."/>
      <w:kern w:val="0"/>
      <w:sz w:val="24"/>
    </w:rPr>
  </w:style>
  <w:style w:type="paragraph" w:customStyle="1" w:styleId="142">
    <w:name w:val="目录 411"/>
    <w:basedOn w:val="1"/>
    <w:next w:val="1"/>
    <w:uiPriority w:val="39"/>
    <w:pPr>
      <w:ind w:left="1260" w:leftChars="600"/>
    </w:pPr>
    <w:rPr>
      <w:rFonts w:ascii="Calibri" w:hAnsi="Calibri"/>
      <w:szCs w:val="22"/>
    </w:rPr>
  </w:style>
  <w:style w:type="paragraph" w:customStyle="1" w:styleId="143">
    <w:name w:val="排版正文"/>
    <w:qFormat/>
    <w:uiPriority w:val="0"/>
    <w:pPr>
      <w:widowControl w:val="0"/>
      <w:spacing w:line="460" w:lineRule="exact"/>
      <w:ind w:firstLine="200" w:firstLineChars="200"/>
      <w:jc w:val="both"/>
    </w:pPr>
    <w:rPr>
      <w:rFonts w:ascii="仿宋_GB2312" w:hAnsi="Times New Roman" w:eastAsia="仿宋_GB2312" w:cs="仿宋_GB2312"/>
      <w:spacing w:val="8"/>
      <w:sz w:val="28"/>
      <w:szCs w:val="28"/>
      <w:lang w:val="en-US" w:eastAsia="zh-CN" w:bidi="ar-SA"/>
    </w:rPr>
  </w:style>
  <w:style w:type="paragraph" w:customStyle="1" w:styleId="144">
    <w:name w:val="目录 711"/>
    <w:basedOn w:val="1"/>
    <w:next w:val="1"/>
    <w:uiPriority w:val="39"/>
    <w:pPr>
      <w:ind w:left="2520" w:leftChars="1200"/>
    </w:pPr>
    <w:rPr>
      <w:rFonts w:ascii="Calibri" w:hAnsi="Calibri"/>
      <w:szCs w:val="22"/>
    </w:rPr>
  </w:style>
  <w:style w:type="paragraph" w:customStyle="1" w:styleId="145">
    <w:name w:val="目录 611"/>
    <w:basedOn w:val="1"/>
    <w:next w:val="1"/>
    <w:uiPriority w:val="39"/>
    <w:pPr>
      <w:ind w:left="2100" w:leftChars="1000"/>
    </w:pPr>
    <w:rPr>
      <w:rFonts w:ascii="Calibri" w:hAnsi="Calibri"/>
      <w:szCs w:val="22"/>
    </w:rPr>
  </w:style>
  <w:style w:type="paragraph" w:customStyle="1" w:styleId="146">
    <w:name w:val="正文陈"/>
    <w:basedOn w:val="14"/>
    <w:qFormat/>
    <w:uiPriority w:val="0"/>
    <w:pPr>
      <w:spacing w:before="156" w:beforeLines="50" w:after="156" w:afterLines="50" w:line="360" w:lineRule="auto"/>
      <w:ind w:firstLine="200" w:firstLineChars="200"/>
    </w:pPr>
    <w:rPr>
      <w:kern w:val="2"/>
      <w:szCs w:val="28"/>
    </w:rPr>
  </w:style>
  <w:style w:type="paragraph" w:customStyle="1" w:styleId="147">
    <w:name w:val="A_项目1"/>
    <w:basedOn w:val="1"/>
    <w:qFormat/>
    <w:uiPriority w:val="0"/>
    <w:pPr>
      <w:numPr>
        <w:ilvl w:val="0"/>
        <w:numId w:val="3"/>
      </w:numPr>
      <w:tabs>
        <w:tab w:val="left" w:pos="780"/>
        <w:tab w:val="clear" w:pos="737"/>
      </w:tabs>
      <w:spacing w:line="480" w:lineRule="exact"/>
    </w:pPr>
    <w:rPr>
      <w:rFonts w:cs="Arial"/>
      <w:sz w:val="24"/>
    </w:rPr>
  </w:style>
  <w:style w:type="paragraph" w:customStyle="1" w:styleId="148">
    <w:name w:val="标题1（陈）"/>
    <w:basedOn w:val="2"/>
    <w:qFormat/>
    <w:uiPriority w:val="0"/>
    <w:pPr>
      <w:numPr>
        <w:numId w:val="0"/>
      </w:numPr>
      <w:spacing w:before="240" w:after="60" w:line="578" w:lineRule="auto"/>
      <w:jc w:val="center"/>
    </w:pPr>
    <w:rPr>
      <w:rFonts w:ascii="Arial" w:hAnsi="Arial" w:eastAsia="宋体" w:cs="Arial"/>
      <w:b/>
      <w:szCs w:val="32"/>
    </w:rPr>
  </w:style>
  <w:style w:type="paragraph" w:customStyle="1" w:styleId="149">
    <w:name w:val="Char"/>
    <w:basedOn w:val="1"/>
    <w:qFormat/>
    <w:uiPriority w:val="0"/>
    <w:pPr>
      <w:tabs>
        <w:tab w:val="left" w:pos="360"/>
      </w:tabs>
      <w:ind w:left="360" w:hanging="360" w:hangingChars="200"/>
    </w:pPr>
  </w:style>
  <w:style w:type="paragraph" w:customStyle="1" w:styleId="150">
    <w:name w:val="注释"/>
    <w:basedOn w:val="29"/>
    <w:qFormat/>
    <w:uiPriority w:val="0"/>
    <w:pPr>
      <w:spacing w:line="360" w:lineRule="auto"/>
    </w:pPr>
    <w:rPr>
      <w:rFonts w:ascii="Times New Roman" w:hAnsi="Times New Roman"/>
      <w:sz w:val="21"/>
    </w:rPr>
  </w:style>
  <w:style w:type="paragraph" w:customStyle="1" w:styleId="151">
    <w:name w:val="标题2"/>
    <w:basedOn w:val="1"/>
    <w:qFormat/>
    <w:uiPriority w:val="0"/>
    <w:pPr>
      <w:numPr>
        <w:ilvl w:val="0"/>
        <w:numId w:val="4"/>
      </w:numPr>
      <w:spacing w:line="360" w:lineRule="auto"/>
      <w:ind w:hanging="150" w:hangingChars="150"/>
      <w:jc w:val="left"/>
    </w:pPr>
    <w:rPr>
      <w:b/>
      <w:sz w:val="22"/>
    </w:rPr>
  </w:style>
  <w:style w:type="paragraph" w:customStyle="1" w:styleId="152">
    <w:name w:val="标题7"/>
    <w:basedOn w:val="1"/>
    <w:next w:val="1"/>
    <w:qFormat/>
    <w:uiPriority w:val="0"/>
    <w:pPr>
      <w:spacing w:line="360" w:lineRule="auto"/>
      <w:ind w:firstLine="200" w:firstLineChars="200"/>
      <w:jc w:val="left"/>
      <w:outlineLvl w:val="6"/>
    </w:pPr>
    <w:rPr>
      <w:sz w:val="24"/>
    </w:rPr>
  </w:style>
  <w:style w:type="paragraph" w:customStyle="1" w:styleId="153">
    <w:name w:val="目录 211"/>
    <w:basedOn w:val="1"/>
    <w:next w:val="1"/>
    <w:qFormat/>
    <w:uiPriority w:val="39"/>
    <w:pPr>
      <w:ind w:left="210"/>
      <w:jc w:val="left"/>
    </w:pPr>
    <w:rPr>
      <w:rFonts w:ascii="Calibri" w:hAnsi="Calibri"/>
      <w:smallCaps/>
      <w:sz w:val="20"/>
      <w:szCs w:val="20"/>
    </w:rPr>
  </w:style>
  <w:style w:type="paragraph" w:customStyle="1" w:styleId="154">
    <w:name w:val="目录 811"/>
    <w:basedOn w:val="1"/>
    <w:next w:val="1"/>
    <w:uiPriority w:val="39"/>
    <w:pPr>
      <w:ind w:left="2940" w:leftChars="1400"/>
    </w:pPr>
    <w:rPr>
      <w:rFonts w:ascii="Calibri" w:hAnsi="Calibri"/>
      <w:szCs w:val="22"/>
    </w:rPr>
  </w:style>
  <w:style w:type="paragraph" w:customStyle="1" w:styleId="155">
    <w:name w:val="环评题注"/>
    <w:basedOn w:val="15"/>
    <w:qFormat/>
    <w:uiPriority w:val="0"/>
    <w:pPr>
      <w:tabs>
        <w:tab w:val="clear" w:pos="424"/>
        <w:tab w:val="clear" w:pos="4252"/>
      </w:tabs>
      <w:spacing w:before="0" w:beforeLines="0" w:after="0" w:afterLines="0"/>
      <w:ind w:right="0"/>
    </w:pPr>
    <w:rPr>
      <w:rFonts w:ascii="Cambria" w:hAnsi="Cambria" w:eastAsia="黑体"/>
      <w:b w:val="0"/>
      <w:szCs w:val="20"/>
    </w:rPr>
  </w:style>
  <w:style w:type="paragraph" w:customStyle="1" w:styleId="156">
    <w:name w:val="TOC Heading"/>
    <w:basedOn w:val="2"/>
    <w:next w:val="1"/>
    <w:qFormat/>
    <w:uiPriority w:val="39"/>
    <w:pPr>
      <w:widowControl/>
      <w:numPr>
        <w:numId w:val="0"/>
      </w:numPr>
      <w:spacing w:before="480" w:after="0" w:line="276" w:lineRule="auto"/>
      <w:jc w:val="left"/>
      <w:outlineLvl w:val="9"/>
    </w:pPr>
    <w:rPr>
      <w:rFonts w:ascii="Cambria" w:hAnsi="Cambria" w:eastAsia="宋体"/>
      <w:b/>
      <w:color w:val="365F91"/>
      <w:kern w:val="0"/>
      <w:sz w:val="28"/>
      <w:szCs w:val="28"/>
    </w:rPr>
  </w:style>
  <w:style w:type="paragraph" w:customStyle="1" w:styleId="157">
    <w:name w:val="表格正文"/>
    <w:basedOn w:val="1"/>
    <w:qFormat/>
    <w:uiPriority w:val="0"/>
    <w:pPr>
      <w:widowControl/>
      <w:jc w:val="left"/>
    </w:pPr>
    <w:rPr>
      <w:rFonts w:ascii="Calibri" w:hAnsi="Calibri"/>
      <w:kern w:val="0"/>
      <w:sz w:val="24"/>
      <w:szCs w:val="21"/>
      <w:lang w:eastAsia="en-US" w:bidi="en-US"/>
    </w:rPr>
  </w:style>
  <w:style w:type="paragraph" w:customStyle="1" w:styleId="158">
    <w:name w:val="cas_content"/>
    <w:basedOn w:val="1"/>
    <w:qFormat/>
    <w:uiPriority w:val="0"/>
    <w:pPr>
      <w:widowControl/>
      <w:spacing w:before="100" w:beforeAutospacing="1" w:after="100" w:afterAutospacing="1"/>
      <w:jc w:val="left"/>
    </w:pPr>
    <w:rPr>
      <w:rFonts w:ascii="宋体" w:hAnsi="宋体" w:cs="宋体"/>
      <w:kern w:val="0"/>
      <w:sz w:val="24"/>
    </w:rPr>
  </w:style>
  <w:style w:type="paragraph" w:customStyle="1" w:styleId="159">
    <w:name w:val="1 Char Char Char Char Char Char1 Char Char Char Char Char Char Char Char Char Char"/>
    <w:basedOn w:val="1"/>
    <w:qFormat/>
    <w:uiPriority w:val="0"/>
    <w:rPr>
      <w:sz w:val="24"/>
    </w:rPr>
  </w:style>
  <w:style w:type="paragraph" w:customStyle="1" w:styleId="160">
    <w:name w:val="环评表格文字"/>
    <w:basedOn w:val="98"/>
    <w:next w:val="1"/>
    <w:qFormat/>
    <w:uiPriority w:val="0"/>
    <w:pPr>
      <w:ind w:firstLine="41" w:firstLineChars="17"/>
      <w:jc w:val="left"/>
    </w:pPr>
    <w:rPr>
      <w:rFonts w:ascii="Calibri"/>
      <w:sz w:val="24"/>
      <w:szCs w:val="21"/>
    </w:rPr>
  </w:style>
  <w:style w:type="paragraph" w:customStyle="1" w:styleId="161">
    <w:name w:val="列表段落1"/>
    <w:basedOn w:val="1"/>
    <w:qFormat/>
    <w:uiPriority w:val="0"/>
    <w:pPr>
      <w:ind w:firstLine="420" w:firstLineChars="200"/>
    </w:pPr>
    <w:rPr>
      <w:rFonts w:ascii="Calibri" w:hAnsi="Calibri"/>
      <w:szCs w:val="22"/>
    </w:rPr>
  </w:style>
  <w:style w:type="paragraph" w:customStyle="1" w:styleId="162">
    <w:name w:val="纯文本1"/>
    <w:basedOn w:val="1"/>
    <w:qFormat/>
    <w:uiPriority w:val="0"/>
    <w:pPr>
      <w:adjustRightInd w:val="0"/>
      <w:jc w:val="left"/>
      <w:textAlignment w:val="baseline"/>
    </w:pPr>
    <w:rPr>
      <w:rFonts w:ascii="宋体" w:hAnsi="Courier New"/>
      <w:sz w:val="24"/>
      <w:szCs w:val="20"/>
    </w:rPr>
  </w:style>
  <w:style w:type="paragraph" w:customStyle="1" w:styleId="163">
    <w:name w:val="纯文本3"/>
    <w:basedOn w:val="1"/>
    <w:qFormat/>
    <w:uiPriority w:val="99"/>
    <w:pPr>
      <w:adjustRightInd w:val="0"/>
      <w:spacing w:beforeLines="50" w:afterLines="50"/>
      <w:jc w:val="left"/>
      <w:textAlignment w:val="baseline"/>
    </w:pPr>
    <w:rPr>
      <w:rFonts w:ascii="宋体" w:hAnsi="Courier New"/>
      <w:sz w:val="28"/>
      <w:szCs w:val="20"/>
    </w:rPr>
  </w:style>
  <w:style w:type="paragraph" w:customStyle="1" w:styleId="164">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165">
    <w:name w:val="SchHead"/>
    <w:basedOn w:val="1"/>
    <w:next w:val="1"/>
    <w:qFormat/>
    <w:uiPriority w:val="0"/>
    <w:pPr>
      <w:widowControl/>
      <w:overflowPunct w:val="0"/>
      <w:autoSpaceDE w:val="0"/>
      <w:autoSpaceDN w:val="0"/>
      <w:adjustRightInd w:val="0"/>
      <w:spacing w:after="240" w:line="360" w:lineRule="auto"/>
      <w:jc w:val="center"/>
      <w:textAlignment w:val="baseline"/>
    </w:pPr>
    <w:rPr>
      <w:rFonts w:ascii="Arial" w:hAnsi="Arial" w:eastAsia="Times New Roman"/>
      <w:b/>
      <w:caps/>
      <w:kern w:val="0"/>
      <w:sz w:val="22"/>
      <w:szCs w:val="20"/>
      <w:lang w:val="en-GB" w:eastAsia="en-US"/>
    </w:rPr>
  </w:style>
  <w:style w:type="character" w:customStyle="1" w:styleId="166">
    <w:name w:val="正文文本 字符"/>
    <w:link w:val="18"/>
    <w:qFormat/>
    <w:uiPriority w:val="99"/>
    <w:rPr>
      <w:rFonts w:ascii="Times New Roman" w:hAnsi="Times New Roman"/>
      <w:szCs w:val="24"/>
    </w:rPr>
  </w:style>
  <w:style w:type="character" w:customStyle="1" w:styleId="167">
    <w:name w:val="正文文本 Char1"/>
    <w:qFormat/>
    <w:uiPriority w:val="99"/>
    <w:rPr>
      <w:rFonts w:ascii="Times New Roman" w:hAnsi="Times New Roman" w:eastAsia="宋体" w:cs="Times New Roman"/>
      <w:szCs w:val="24"/>
    </w:rPr>
  </w:style>
  <w:style w:type="character" w:customStyle="1" w:styleId="168">
    <w:name w:val="尾注文本 字符"/>
    <w:link w:val="26"/>
    <w:qFormat/>
    <w:uiPriority w:val="0"/>
    <w:rPr>
      <w:rFonts w:ascii="Times New Roman" w:hAnsi="Times New Roman" w:eastAsia="宋体" w:cs="Times New Roman"/>
      <w:kern w:val="21"/>
      <w:sz w:val="24"/>
      <w:szCs w:val="20"/>
    </w:rPr>
  </w:style>
  <w:style w:type="character" w:customStyle="1" w:styleId="169">
    <w:name w:val="仁济医院正文 仿宋_GB2312"/>
    <w:qFormat/>
    <w:uiPriority w:val="0"/>
    <w:rPr>
      <w:rFonts w:hint="eastAsia" w:ascii="仿宋_GB2312" w:hAnsi="仿宋_GB2312" w:eastAsia="仿宋_GB2312"/>
    </w:rPr>
  </w:style>
  <w:style w:type="character" w:customStyle="1" w:styleId="170">
    <w:name w:val="正文文本缩进 3 字符"/>
    <w:link w:val="35"/>
    <w:qFormat/>
    <w:uiPriority w:val="0"/>
    <w:rPr>
      <w:rFonts w:ascii="Times New Roman" w:hAnsi="Times New Roman" w:eastAsia="宋体" w:cs="Times New Roman"/>
      <w:sz w:val="16"/>
      <w:szCs w:val="16"/>
    </w:rPr>
  </w:style>
  <w:style w:type="paragraph" w:customStyle="1" w:styleId="171">
    <w:name w:val="表格"/>
    <w:basedOn w:val="1"/>
    <w:next w:val="1"/>
    <w:link w:val="172"/>
    <w:qFormat/>
    <w:uiPriority w:val="0"/>
    <w:pPr>
      <w:widowControl/>
      <w:adjustRightInd w:val="0"/>
      <w:spacing w:before="60" w:after="60" w:line="400" w:lineRule="atLeast"/>
      <w:jc w:val="center"/>
      <w:textAlignment w:val="baseline"/>
    </w:pPr>
    <w:rPr>
      <w:rFonts w:ascii="宋体" w:hAnsi="Calibri"/>
      <w:kern w:val="18"/>
      <w:szCs w:val="20"/>
      <w:lang w:val="zh-CN" w:eastAsia="en-US" w:bidi="en-US"/>
    </w:rPr>
  </w:style>
  <w:style w:type="character" w:customStyle="1" w:styleId="172">
    <w:name w:val="表格 Char Char"/>
    <w:link w:val="171"/>
    <w:qFormat/>
    <w:uiPriority w:val="0"/>
    <w:rPr>
      <w:rFonts w:ascii="宋体" w:hAnsi="Calibri" w:eastAsia="宋体" w:cs="Times New Roman"/>
      <w:kern w:val="18"/>
      <w:szCs w:val="20"/>
      <w:lang w:val="zh-CN" w:eastAsia="en-US" w:bidi="en-US"/>
    </w:rPr>
  </w:style>
  <w:style w:type="paragraph" w:customStyle="1" w:styleId="173">
    <w:name w:val="纯文本2"/>
    <w:basedOn w:val="1"/>
    <w:qFormat/>
    <w:uiPriority w:val="0"/>
    <w:pPr>
      <w:adjustRightInd w:val="0"/>
      <w:jc w:val="left"/>
      <w:textAlignment w:val="baseline"/>
    </w:pPr>
    <w:rPr>
      <w:rFonts w:ascii="QPFAEB+Helvetica-Bold" w:hAnsi="TT A 267o 00"/>
      <w:kern w:val="3"/>
      <w:sz w:val="24"/>
      <w:szCs w:val="20"/>
    </w:rPr>
  </w:style>
  <w:style w:type="paragraph" w:customStyle="1" w:styleId="174">
    <w:name w:val="正文+2"/>
    <w:basedOn w:val="164"/>
    <w:next w:val="164"/>
    <w:qFormat/>
    <w:uiPriority w:val="0"/>
    <w:rPr>
      <w:rFonts w:ascii="QPFAEB+Helvetica-Bold" w:hAnsi="Times New Roman" w:cs="Times New Roman"/>
      <w:color w:val="auto"/>
    </w:rPr>
  </w:style>
  <w:style w:type="paragraph" w:customStyle="1" w:styleId="175">
    <w:name w:val="列出段落1"/>
    <w:basedOn w:val="1"/>
    <w:qFormat/>
    <w:uiPriority w:val="34"/>
    <w:pPr>
      <w:widowControl/>
      <w:spacing w:after="200" w:line="276" w:lineRule="auto"/>
      <w:ind w:left="720"/>
      <w:contextualSpacing/>
      <w:jc w:val="left"/>
    </w:pPr>
    <w:rPr>
      <w:rFonts w:ascii="Calibri" w:hAnsi="Calibri"/>
      <w:kern w:val="0"/>
      <w:sz w:val="22"/>
      <w:szCs w:val="22"/>
    </w:rPr>
  </w:style>
  <w:style w:type="paragraph" w:customStyle="1" w:styleId="176">
    <w:name w:val="普通(网站)1"/>
    <w:basedOn w:val="1"/>
    <w:qFormat/>
    <w:uiPriority w:val="0"/>
    <w:pPr>
      <w:widowControl/>
      <w:spacing w:before="100" w:beforeAutospacing="1" w:after="100" w:afterAutospacing="1"/>
      <w:jc w:val="left"/>
    </w:pPr>
    <w:rPr>
      <w:rFonts w:hint="eastAsia" w:ascii="宋体" w:hAnsi="宋体"/>
      <w:sz w:val="24"/>
      <w:szCs w:val="20"/>
    </w:rPr>
  </w:style>
  <w:style w:type="paragraph" w:customStyle="1" w:styleId="177">
    <w:name w:val="附录表标号"/>
    <w:basedOn w:val="1"/>
    <w:next w:val="1"/>
    <w:qFormat/>
    <w:uiPriority w:val="0"/>
    <w:pPr>
      <w:numPr>
        <w:ilvl w:val="0"/>
        <w:numId w:val="5"/>
      </w:numPr>
      <w:tabs>
        <w:tab w:val="clear" w:pos="0"/>
      </w:tabs>
      <w:spacing w:line="14" w:lineRule="exact"/>
      <w:ind w:left="811" w:hanging="448"/>
      <w:jc w:val="center"/>
      <w:outlineLvl w:val="0"/>
    </w:pPr>
    <w:rPr>
      <w:color w:val="FFFFFF"/>
    </w:rPr>
  </w:style>
  <w:style w:type="paragraph" w:customStyle="1" w:styleId="178">
    <w:name w:val="附录表标题"/>
    <w:basedOn w:val="1"/>
    <w:next w:val="1"/>
    <w:qFormat/>
    <w:uiPriority w:val="0"/>
    <w:pPr>
      <w:numPr>
        <w:ilvl w:val="1"/>
        <w:numId w:val="5"/>
      </w:numPr>
      <w:tabs>
        <w:tab w:val="left" w:pos="180"/>
      </w:tabs>
      <w:spacing w:before="50" w:beforeLines="50" w:after="50" w:afterLines="50"/>
      <w:ind w:left="0" w:firstLine="0"/>
      <w:jc w:val="center"/>
    </w:pPr>
    <w:rPr>
      <w:rFonts w:ascii="黑体" w:eastAsia="黑体"/>
      <w:szCs w:val="21"/>
    </w:rPr>
  </w:style>
  <w:style w:type="paragraph" w:customStyle="1" w:styleId="179">
    <w:name w:val="1"/>
    <w:basedOn w:val="1"/>
    <w:qFormat/>
    <w:uiPriority w:val="0"/>
    <w:pPr>
      <w:spacing w:line="360" w:lineRule="auto"/>
    </w:pPr>
    <w:rPr>
      <w:rFonts w:ascii="宋体" w:hAnsi="宋体"/>
      <w:sz w:val="22"/>
    </w:rPr>
  </w:style>
  <w:style w:type="character" w:customStyle="1" w:styleId="180">
    <w:name w:val="正文1 Char Char"/>
    <w:qFormat/>
    <w:uiPriority w:val="0"/>
    <w:rPr>
      <w:sz w:val="24"/>
      <w:szCs w:val="24"/>
    </w:rPr>
  </w:style>
  <w:style w:type="paragraph" w:customStyle="1" w:styleId="181">
    <w:name w:val="样式1"/>
    <w:basedOn w:val="5"/>
    <w:qFormat/>
    <w:uiPriority w:val="0"/>
  </w:style>
  <w:style w:type="paragraph" w:customStyle="1" w:styleId="182">
    <w:name w:val="样式2"/>
    <w:basedOn w:val="5"/>
    <w:autoRedefine/>
    <w:qFormat/>
    <w:uiPriority w:val="0"/>
  </w:style>
  <w:style w:type="paragraph" w:customStyle="1" w:styleId="183">
    <w:name w:val="样式3"/>
    <w:basedOn w:val="5"/>
    <w:autoRedefine/>
    <w:qFormat/>
    <w:uiPriority w:val="0"/>
  </w:style>
  <w:style w:type="paragraph" w:customStyle="1" w:styleId="184">
    <w:name w:val="样式4"/>
    <w:basedOn w:val="5"/>
    <w:qFormat/>
    <w:uiPriority w:val="0"/>
  </w:style>
  <w:style w:type="paragraph" w:customStyle="1" w:styleId="185">
    <w:name w:val="样式5"/>
    <w:basedOn w:val="5"/>
    <w:qFormat/>
    <w:uiPriority w:val="0"/>
  </w:style>
  <w:style w:type="paragraph" w:customStyle="1" w:styleId="186">
    <w:name w:val="样式6"/>
    <w:basedOn w:val="5"/>
    <w:qFormat/>
    <w:uiPriority w:val="0"/>
  </w:style>
  <w:style w:type="paragraph" w:customStyle="1" w:styleId="187">
    <w:name w:val="样式7"/>
    <w:basedOn w:val="5"/>
    <w:qFormat/>
    <w:uiPriority w:val="0"/>
  </w:style>
  <w:style w:type="paragraph" w:customStyle="1" w:styleId="188">
    <w:name w:val="样式8"/>
    <w:basedOn w:val="5"/>
    <w:autoRedefine/>
    <w:qFormat/>
    <w:uiPriority w:val="0"/>
  </w:style>
  <w:style w:type="paragraph" w:customStyle="1" w:styleId="189">
    <w:name w:val="样式9"/>
    <w:basedOn w:val="5"/>
    <w:autoRedefine/>
    <w:qFormat/>
    <w:uiPriority w:val="0"/>
  </w:style>
  <w:style w:type="paragraph" w:customStyle="1" w:styleId="190">
    <w:name w:val="样式10"/>
    <w:basedOn w:val="5"/>
    <w:link w:val="191"/>
    <w:qFormat/>
    <w:uiPriority w:val="0"/>
  </w:style>
  <w:style w:type="character" w:customStyle="1" w:styleId="191">
    <w:name w:val="样式10 Char"/>
    <w:link w:val="190"/>
    <w:qFormat/>
    <w:uiPriority w:val="0"/>
    <w:rPr>
      <w:rFonts w:ascii="Times New Roman" w:hAnsi="Times New Roman"/>
      <w:b/>
      <w:bCs/>
      <w:sz w:val="24"/>
      <w:szCs w:val="28"/>
      <w:lang w:val="zh-CN" w:eastAsia="zh-CN"/>
    </w:rPr>
  </w:style>
  <w:style w:type="paragraph" w:customStyle="1" w:styleId="192">
    <w:name w:val="默认段落字体 Para Char Char Char Char"/>
    <w:basedOn w:val="1"/>
    <w:qFormat/>
    <w:uiPriority w:val="0"/>
  </w:style>
  <w:style w:type="character" w:customStyle="1" w:styleId="193">
    <w:name w:val="t_tag"/>
    <w:uiPriority w:val="0"/>
  </w:style>
  <w:style w:type="paragraph" w:customStyle="1" w:styleId="194">
    <w:name w:val="正文首行缩进1"/>
    <w:basedOn w:val="18"/>
    <w:link w:val="195"/>
    <w:semiHidden/>
    <w:unhideWhenUsed/>
    <w:uiPriority w:val="99"/>
    <w:pPr>
      <w:ind w:firstLine="420" w:firstLineChars="100"/>
    </w:pPr>
  </w:style>
  <w:style w:type="character" w:customStyle="1" w:styleId="195">
    <w:name w:val="正文首行缩进 Char"/>
    <w:link w:val="194"/>
    <w:semiHidden/>
    <w:uiPriority w:val="99"/>
    <w:rPr>
      <w:rFonts w:ascii="Times New Roman" w:hAnsi="Times New Roman"/>
      <w:kern w:val="2"/>
      <w:sz w:val="21"/>
      <w:szCs w:val="24"/>
    </w:rPr>
  </w:style>
  <w:style w:type="paragraph" w:customStyle="1" w:styleId="196">
    <w:name w:val="正文样式 Char Char Char Char Char"/>
    <w:basedOn w:val="1"/>
    <w:link w:val="197"/>
    <w:qFormat/>
    <w:uiPriority w:val="0"/>
    <w:pPr>
      <w:spacing w:line="360" w:lineRule="auto"/>
      <w:ind w:firstLine="480" w:firstLineChars="200"/>
      <w:jc w:val="left"/>
    </w:pPr>
    <w:rPr>
      <w:rFonts w:ascii="宋体" w:hAnsi="宋体"/>
      <w:color w:val="000000"/>
      <w:sz w:val="24"/>
    </w:rPr>
  </w:style>
  <w:style w:type="character" w:customStyle="1" w:styleId="197">
    <w:name w:val="正文样式 Char Char Char Char Char Char"/>
    <w:link w:val="196"/>
    <w:qFormat/>
    <w:uiPriority w:val="0"/>
    <w:rPr>
      <w:rFonts w:ascii="宋体" w:hAnsi="宋体"/>
      <w:color w:val="000000"/>
      <w:kern w:val="2"/>
      <w:sz w:val="24"/>
      <w:szCs w:val="24"/>
    </w:rPr>
  </w:style>
  <w:style w:type="paragraph" w:customStyle="1" w:styleId="198">
    <w:name w:val="p16"/>
    <w:basedOn w:val="1"/>
    <w:qFormat/>
    <w:uiPriority w:val="0"/>
    <w:pPr>
      <w:widowControl/>
      <w:snapToGrid w:val="0"/>
      <w:jc w:val="center"/>
    </w:pPr>
    <w:rPr>
      <w:kern w:val="0"/>
      <w:szCs w:val="21"/>
    </w:rPr>
  </w:style>
  <w:style w:type="character" w:customStyle="1" w:styleId="199">
    <w:name w:val="fontstyle01"/>
    <w:qFormat/>
    <w:uiPriority w:val="0"/>
    <w:rPr>
      <w:rFonts w:hint="eastAsia" w:ascii="宋体" w:hAnsi="宋体" w:eastAsia="宋体"/>
      <w:color w:val="000000"/>
      <w:sz w:val="24"/>
      <w:szCs w:val="24"/>
    </w:rPr>
  </w:style>
  <w:style w:type="character" w:customStyle="1" w:styleId="200">
    <w:name w:val="fontstyle21"/>
    <w:qFormat/>
    <w:uiPriority w:val="0"/>
    <w:rPr>
      <w:rFonts w:hint="default" w:ascii="Times New Roman" w:hAnsi="Times New Roman" w:cs="Times New Roman"/>
      <w:color w:val="000000"/>
      <w:sz w:val="24"/>
      <w:szCs w:val="24"/>
    </w:rPr>
  </w:style>
  <w:style w:type="character" w:customStyle="1" w:styleId="201">
    <w:name w:val="fontstyle11"/>
    <w:qFormat/>
    <w:uiPriority w:val="0"/>
    <w:rPr>
      <w:rFonts w:hint="default" w:ascii="Times New Roman" w:hAnsi="Times New Roman" w:cs="Times New Roman"/>
      <w:color w:val="000000"/>
      <w:sz w:val="24"/>
      <w:szCs w:val="24"/>
    </w:rPr>
  </w:style>
  <w:style w:type="character" w:customStyle="1" w:styleId="202">
    <w:name w:val="fontstyle31"/>
    <w:qFormat/>
    <w:uiPriority w:val="0"/>
    <w:rPr>
      <w:rFonts w:hint="default" w:ascii="Times New Roman" w:hAnsi="Times New Roman" w:cs="Times New Roman"/>
      <w:color w:val="000000"/>
      <w:sz w:val="24"/>
      <w:szCs w:val="24"/>
    </w:rPr>
  </w:style>
  <w:style w:type="paragraph" w:customStyle="1" w:styleId="203">
    <w:name w:val="Char Char1 Char Char Char Char"/>
    <w:basedOn w:val="1"/>
    <w:qFormat/>
    <w:uiPriority w:val="0"/>
    <w:pPr>
      <w:spacing w:line="360" w:lineRule="auto"/>
      <w:ind w:firstLine="200" w:firstLineChars="200"/>
    </w:pPr>
    <w:rPr>
      <w:rFonts w:ascii="宋体" w:hAnsi="宋体" w:cs="宋体"/>
      <w:sz w:val="24"/>
    </w:rPr>
  </w:style>
  <w:style w:type="paragraph" w:customStyle="1" w:styleId="204">
    <w:name w:val="5正文 ，首行缩进"/>
    <w:basedOn w:val="1"/>
    <w:link w:val="205"/>
    <w:qFormat/>
    <w:uiPriority w:val="0"/>
    <w:pPr>
      <w:topLinePunct/>
      <w:adjustRightInd w:val="0"/>
      <w:snapToGrid w:val="0"/>
      <w:spacing w:line="360" w:lineRule="auto"/>
      <w:ind w:firstLine="200" w:firstLineChars="200"/>
    </w:pPr>
    <w:rPr>
      <w:rFonts w:ascii="Calibri" w:hAnsi="宋体"/>
      <w:snapToGrid w:val="0"/>
      <w:kern w:val="24"/>
      <w:sz w:val="24"/>
      <w:lang w:val="zh-CN" w:eastAsia="zh-CN"/>
    </w:rPr>
  </w:style>
  <w:style w:type="character" w:customStyle="1" w:styleId="205">
    <w:name w:val="5正文 ，首行缩进 Char"/>
    <w:link w:val="204"/>
    <w:qFormat/>
    <w:uiPriority w:val="0"/>
    <w:rPr>
      <w:rFonts w:hAnsi="宋体"/>
      <w:snapToGrid w:val="0"/>
      <w:kern w:val="24"/>
      <w:sz w:val="24"/>
      <w:szCs w:val="24"/>
      <w:lang w:val="zh-CN" w:eastAsia="zh-CN"/>
    </w:rPr>
  </w:style>
  <w:style w:type="paragraph" w:customStyle="1" w:styleId="206">
    <w:name w:val="font6"/>
    <w:basedOn w:val="1"/>
    <w:qFormat/>
    <w:uiPriority w:val="0"/>
    <w:pPr>
      <w:widowControl/>
      <w:spacing w:before="100" w:beforeAutospacing="1" w:after="100" w:afterAutospacing="1" w:line="360" w:lineRule="auto"/>
      <w:jc w:val="left"/>
    </w:pPr>
    <w:rPr>
      <w:rFonts w:ascii="宋体" w:hAnsi="宋体"/>
      <w:kern w:val="0"/>
      <w:sz w:val="24"/>
      <w:szCs w:val="21"/>
    </w:rPr>
  </w:style>
  <w:style w:type="character" w:customStyle="1" w:styleId="207">
    <w:name w:val="Unresolved Mention"/>
    <w:semiHidden/>
    <w:unhideWhenUsed/>
    <w:uiPriority w:val="99"/>
    <w:rPr>
      <w:color w:val="605E5C"/>
      <w:shd w:val="clear" w:color="auto" w:fill="E1DFDD"/>
    </w:rPr>
  </w:style>
  <w:style w:type="paragraph" w:customStyle="1" w:styleId="208">
    <w:name w:val="Revision"/>
    <w:hidden/>
    <w:semiHidden/>
    <w:uiPriority w:val="99"/>
    <w:rPr>
      <w:rFonts w:ascii="Times New Roman" w:hAnsi="Times New Roman" w:eastAsia="宋体" w:cs="Times New Roman"/>
      <w:kern w:val="2"/>
      <w:sz w:val="21"/>
      <w:szCs w:val="24"/>
      <w:lang w:val="en-US" w:eastAsia="zh-CN" w:bidi="ar-SA"/>
    </w:rPr>
  </w:style>
  <w:style w:type="character" w:customStyle="1" w:styleId="209">
    <w:name w:val="页脚 字符"/>
    <w:basedOn w:val="47"/>
    <w:qFormat/>
    <w:uiPriority w:val="99"/>
  </w:style>
  <w:style w:type="character" w:customStyle="1" w:styleId="210">
    <w:name w:val="题注 字符"/>
    <w:qFormat/>
    <w:uiPriority w:val="0"/>
    <w:rPr>
      <w:rFonts w:ascii="Times New Roman" w:hAnsi="Times New Roman" w:cs="宋体"/>
      <w:bCs/>
      <w:sz w:val="24"/>
      <w:szCs w:val="32"/>
    </w:rPr>
  </w:style>
  <w:style w:type="character" w:customStyle="1" w:styleId="211">
    <w:name w:val="表格 字符"/>
    <w:basedOn w:val="47"/>
    <w:uiPriority w:val="0"/>
    <w:rPr>
      <w:rFonts w:ascii="Times New Roman" w:hAnsi="Times New Roman" w:eastAsia="宋体"/>
      <w:szCs w:val="21"/>
    </w:rPr>
  </w:style>
  <w:style w:type="paragraph" w:styleId="212">
    <w:name w:val="List Paragraph"/>
    <w:basedOn w:val="1"/>
    <w:link w:val="414"/>
    <w:qFormat/>
    <w:uiPriority w:val="34"/>
    <w:pPr>
      <w:ind w:firstLine="420" w:firstLineChars="200"/>
    </w:pPr>
    <w:rPr>
      <w:rFonts w:asciiTheme="minorHAnsi" w:hAnsiTheme="minorHAnsi" w:eastAsiaTheme="minorEastAsia" w:cstheme="minorBidi"/>
      <w:szCs w:val="22"/>
    </w:rPr>
  </w:style>
  <w:style w:type="character" w:customStyle="1" w:styleId="213">
    <w:name w:val="题注 Char"/>
    <w:qFormat/>
    <w:uiPriority w:val="0"/>
    <w:rPr>
      <w:b/>
      <w:sz w:val="24"/>
      <w:szCs w:val="32"/>
      <w:lang w:val="en-US" w:eastAsia="zh-CN"/>
    </w:rPr>
  </w:style>
  <w:style w:type="character" w:customStyle="1" w:styleId="214">
    <w:name w:val="书籍标题1"/>
    <w:qFormat/>
    <w:uiPriority w:val="0"/>
    <w:rPr>
      <w:b/>
      <w:bCs/>
      <w:smallCaps/>
      <w:spacing w:val="5"/>
    </w:rPr>
  </w:style>
  <w:style w:type="character" w:customStyle="1" w:styleId="215">
    <w:name w:val="脚注文本 字符"/>
    <w:basedOn w:val="47"/>
    <w:link w:val="33"/>
    <w:uiPriority w:val="99"/>
    <w:rPr>
      <w:rFonts w:ascii="宋体" w:hAnsi="宋体" w:cs="宋体"/>
    </w:rPr>
  </w:style>
  <w:style w:type="character" w:customStyle="1" w:styleId="216">
    <w:name w:val="HTML 预设格式 字符"/>
    <w:basedOn w:val="47"/>
    <w:link w:val="40"/>
    <w:semiHidden/>
    <w:uiPriority w:val="99"/>
    <w:rPr>
      <w:rFonts w:ascii="宋体" w:hAnsi="宋体" w:cs="宋体"/>
      <w:sz w:val="24"/>
      <w:szCs w:val="24"/>
    </w:rPr>
  </w:style>
  <w:style w:type="character" w:customStyle="1" w:styleId="217">
    <w:name w:val="不明显参考1"/>
    <w:qFormat/>
    <w:uiPriority w:val="0"/>
    <w:rPr>
      <w:smallCaps/>
      <w:color w:val="C0504D"/>
      <w:u w:val="single"/>
    </w:rPr>
  </w:style>
  <w:style w:type="character" w:customStyle="1" w:styleId="218">
    <w:name w:val="正文文本缩进 字符1"/>
    <w:qFormat/>
    <w:uiPriority w:val="0"/>
    <w:rPr>
      <w:kern w:val="2"/>
      <w:sz w:val="21"/>
      <w:szCs w:val="24"/>
    </w:rPr>
  </w:style>
  <w:style w:type="character" w:customStyle="1" w:styleId="219">
    <w:name w:val="IBA Normal Char Char"/>
    <w:link w:val="220"/>
    <w:qFormat/>
    <w:uiPriority w:val="0"/>
    <w:rPr>
      <w:rFonts w:ascii="Arial" w:hAnsi="Arial" w:cs="Arial"/>
      <w:sz w:val="22"/>
      <w:szCs w:val="22"/>
    </w:rPr>
  </w:style>
  <w:style w:type="paragraph" w:customStyle="1" w:styleId="220">
    <w:name w:val="IBA Normal"/>
    <w:basedOn w:val="1"/>
    <w:link w:val="219"/>
    <w:uiPriority w:val="0"/>
    <w:pPr>
      <w:widowControl/>
      <w:spacing w:before="120" w:after="120" w:line="276" w:lineRule="auto"/>
      <w:jc w:val="left"/>
    </w:pPr>
    <w:rPr>
      <w:rFonts w:ascii="Arial" w:hAnsi="Arial" w:cs="Arial"/>
      <w:kern w:val="0"/>
      <w:sz w:val="22"/>
      <w:szCs w:val="22"/>
    </w:rPr>
  </w:style>
  <w:style w:type="character" w:customStyle="1" w:styleId="221">
    <w:name w:val="批注文字 字符1"/>
    <w:qFormat/>
    <w:uiPriority w:val="99"/>
    <w:rPr>
      <w:rFonts w:eastAsia="仿宋_GB2312"/>
      <w:sz w:val="24"/>
      <w:szCs w:val="24"/>
    </w:rPr>
  </w:style>
  <w:style w:type="character" w:customStyle="1" w:styleId="222">
    <w:name w:val="HTML 打字机1"/>
    <w:uiPriority w:val="0"/>
    <w:rPr>
      <w:rFonts w:ascii="Arial Unicode MS" w:hAnsi="Arial Unicode MS" w:eastAsia="Arial Unicode MS" w:cs="黑体"/>
      <w:sz w:val="20"/>
      <w:szCs w:val="20"/>
    </w:rPr>
  </w:style>
  <w:style w:type="character" w:customStyle="1" w:styleId="223">
    <w:name w:val="批注引用1"/>
    <w:uiPriority w:val="0"/>
    <w:rPr>
      <w:sz w:val="21"/>
      <w:szCs w:val="21"/>
    </w:rPr>
  </w:style>
  <w:style w:type="character" w:customStyle="1" w:styleId="224">
    <w:name w:val="页码1"/>
    <w:basedOn w:val="47"/>
    <w:uiPriority w:val="0"/>
  </w:style>
  <w:style w:type="paragraph" w:customStyle="1" w:styleId="225">
    <w:name w:val="正文缩进1"/>
    <w:basedOn w:val="1"/>
    <w:uiPriority w:val="0"/>
    <w:pPr>
      <w:widowControl/>
      <w:spacing w:line="360" w:lineRule="atLeast"/>
      <w:ind w:firstLine="420"/>
      <w:jc w:val="left"/>
    </w:pPr>
    <w:rPr>
      <w:rFonts w:ascii="宋体" w:hAnsi="宋体" w:cs="宋体"/>
      <w:kern w:val="21"/>
      <w:sz w:val="24"/>
      <w:szCs w:val="20"/>
      <w:lang w:val="zh-CN"/>
    </w:rPr>
  </w:style>
  <w:style w:type="paragraph" w:customStyle="1" w:styleId="226">
    <w:name w:val="正文文本缩进 21"/>
    <w:basedOn w:val="1"/>
    <w:uiPriority w:val="0"/>
    <w:pPr>
      <w:widowControl/>
      <w:ind w:firstLine="540"/>
      <w:jc w:val="left"/>
    </w:pPr>
    <w:rPr>
      <w:rFonts w:ascii="宋体" w:hAnsi="宋体" w:cs="宋体"/>
      <w:kern w:val="0"/>
      <w:sz w:val="24"/>
    </w:rPr>
  </w:style>
  <w:style w:type="character" w:customStyle="1" w:styleId="227">
    <w:name w:val="彩色列表 - 强调文字颜色 1字符"/>
    <w:link w:val="228"/>
    <w:uiPriority w:val="0"/>
    <w:rPr>
      <w:sz w:val="28"/>
      <w:szCs w:val="21"/>
      <w:lang w:eastAsia="en-US"/>
    </w:rPr>
  </w:style>
  <w:style w:type="paragraph" w:customStyle="1" w:styleId="228">
    <w:name w:val="彩色列表 - 强调文字颜色 11"/>
    <w:basedOn w:val="1"/>
    <w:link w:val="227"/>
    <w:uiPriority w:val="0"/>
    <w:pPr>
      <w:widowControl/>
      <w:spacing w:after="200" w:line="276" w:lineRule="auto"/>
      <w:ind w:left="150" w:firstLine="420" w:firstLineChars="200"/>
      <w:jc w:val="left"/>
    </w:pPr>
    <w:rPr>
      <w:rFonts w:ascii="Calibri" w:hAnsi="Calibri"/>
      <w:kern w:val="0"/>
      <w:sz w:val="28"/>
      <w:szCs w:val="21"/>
      <w:lang w:eastAsia="en-US"/>
    </w:rPr>
  </w:style>
  <w:style w:type="paragraph" w:customStyle="1" w:styleId="229">
    <w:name w:val="批注主题1"/>
    <w:basedOn w:val="17"/>
    <w:next w:val="17"/>
    <w:uiPriority w:val="0"/>
    <w:pPr>
      <w:widowControl/>
    </w:pPr>
    <w:rPr>
      <w:rFonts w:ascii="宋体" w:hAnsi="宋体" w:cs="宋体"/>
      <w:b/>
      <w:bCs/>
      <w:kern w:val="0"/>
      <w:lang w:val="zh-CN"/>
    </w:rPr>
  </w:style>
  <w:style w:type="paragraph" w:customStyle="1" w:styleId="230">
    <w:name w:val="日期1"/>
    <w:basedOn w:val="1"/>
    <w:next w:val="1"/>
    <w:uiPriority w:val="0"/>
    <w:pPr>
      <w:widowControl/>
      <w:ind w:left="100" w:leftChars="2500"/>
      <w:jc w:val="left"/>
    </w:pPr>
    <w:rPr>
      <w:rFonts w:ascii="宋体" w:hAnsi="宋体" w:cs="宋体"/>
      <w:kern w:val="0"/>
      <w:sz w:val="20"/>
      <w:lang w:val="zh-CN"/>
    </w:rPr>
  </w:style>
  <w:style w:type="character" w:customStyle="1" w:styleId="231">
    <w:name w:val="明显参考1"/>
    <w:qFormat/>
    <w:uiPriority w:val="0"/>
    <w:rPr>
      <w:b/>
      <w:bCs/>
      <w:smallCaps/>
      <w:color w:val="C0504D"/>
      <w:spacing w:val="5"/>
      <w:u w:val="single"/>
    </w:rPr>
  </w:style>
  <w:style w:type="character" w:customStyle="1" w:styleId="232">
    <w:name w:val="正文文本首行缩进 2 字符"/>
    <w:link w:val="233"/>
    <w:uiPriority w:val="0"/>
    <w:rPr>
      <w:sz w:val="24"/>
      <w:szCs w:val="21"/>
    </w:rPr>
  </w:style>
  <w:style w:type="paragraph" w:customStyle="1" w:styleId="233">
    <w:name w:val="正文文本首行缩进 21"/>
    <w:basedOn w:val="234"/>
    <w:link w:val="232"/>
    <w:uiPriority w:val="0"/>
    <w:pPr>
      <w:ind w:firstLine="420" w:firstLineChars="200"/>
    </w:pPr>
    <w:rPr>
      <w:rFonts w:ascii="Calibri" w:hAnsi="Calibri" w:cs="Times New Roman"/>
      <w:sz w:val="24"/>
      <w:szCs w:val="21"/>
      <w:lang w:val="en-US"/>
    </w:rPr>
  </w:style>
  <w:style w:type="paragraph" w:customStyle="1" w:styleId="234">
    <w:name w:val="正文文本缩进1"/>
    <w:basedOn w:val="1"/>
    <w:uiPriority w:val="0"/>
    <w:pPr>
      <w:widowControl/>
      <w:spacing w:after="120"/>
      <w:ind w:left="420" w:leftChars="200"/>
      <w:jc w:val="left"/>
    </w:pPr>
    <w:rPr>
      <w:rFonts w:ascii="宋体" w:hAnsi="宋体" w:cs="宋体"/>
      <w:kern w:val="0"/>
      <w:sz w:val="20"/>
      <w:lang w:val="zh-CN"/>
    </w:rPr>
  </w:style>
  <w:style w:type="character" w:customStyle="1" w:styleId="235">
    <w:name w:val="彩色网格 - 强调文字颜色 1字符"/>
    <w:link w:val="236"/>
    <w:uiPriority w:val="0"/>
    <w:rPr>
      <w:i/>
      <w:iCs/>
      <w:color w:val="000000"/>
      <w:szCs w:val="24"/>
    </w:rPr>
  </w:style>
  <w:style w:type="paragraph" w:customStyle="1" w:styleId="236">
    <w:name w:val="彩色网格 - 强调文字颜色 11"/>
    <w:basedOn w:val="1"/>
    <w:next w:val="1"/>
    <w:link w:val="235"/>
    <w:uiPriority w:val="0"/>
    <w:pPr>
      <w:widowControl/>
      <w:jc w:val="left"/>
    </w:pPr>
    <w:rPr>
      <w:rFonts w:ascii="Calibri" w:hAnsi="Calibri"/>
      <w:i/>
      <w:iCs/>
      <w:color w:val="000000"/>
      <w:kern w:val="0"/>
      <w:sz w:val="20"/>
    </w:rPr>
  </w:style>
  <w:style w:type="paragraph" w:customStyle="1" w:styleId="237">
    <w:name w:val="中等深浅网格 21"/>
    <w:link w:val="238"/>
    <w:uiPriority w:val="0"/>
    <w:pPr>
      <w:widowControl w:val="0"/>
      <w:jc w:val="both"/>
    </w:pPr>
    <w:rPr>
      <w:rFonts w:ascii="黑体" w:hAnsi="Times New Roman" w:eastAsia="宋体" w:cs="Times New Roman"/>
      <w:szCs w:val="24"/>
      <w:lang w:val="en-US" w:eastAsia="zh-CN" w:bidi="ar-SA"/>
    </w:rPr>
  </w:style>
  <w:style w:type="character" w:customStyle="1" w:styleId="238">
    <w:name w:val="中等深浅网格 2字符"/>
    <w:link w:val="237"/>
    <w:uiPriority w:val="0"/>
    <w:rPr>
      <w:rFonts w:ascii="黑体" w:hAnsi="Times New Roman"/>
      <w:szCs w:val="24"/>
    </w:rPr>
  </w:style>
  <w:style w:type="character" w:customStyle="1" w:styleId="239">
    <w:name w:val="不明显强调1"/>
    <w:qFormat/>
    <w:uiPriority w:val="0"/>
    <w:rPr>
      <w:i/>
      <w:iCs/>
      <w:color w:val="808080"/>
    </w:rPr>
  </w:style>
  <w:style w:type="paragraph" w:customStyle="1" w:styleId="240">
    <w:name w:val="文档结构图1"/>
    <w:basedOn w:val="1"/>
    <w:uiPriority w:val="0"/>
    <w:pPr>
      <w:widowControl/>
      <w:jc w:val="left"/>
    </w:pPr>
    <w:rPr>
      <w:rFonts w:ascii="宋体" w:hAnsi="宋体" w:cs="宋体"/>
      <w:kern w:val="0"/>
      <w:sz w:val="18"/>
      <w:szCs w:val="18"/>
      <w:lang w:val="zh-CN"/>
    </w:rPr>
  </w:style>
  <w:style w:type="character" w:customStyle="1" w:styleId="241">
    <w:name w:val="明显强调1"/>
    <w:qFormat/>
    <w:uiPriority w:val="0"/>
    <w:rPr>
      <w:b/>
      <w:bCs/>
      <w:i/>
      <w:iCs/>
      <w:color w:val="4F81BD"/>
    </w:rPr>
  </w:style>
  <w:style w:type="paragraph" w:customStyle="1" w:styleId="242">
    <w:name w:val="正文文本 21"/>
    <w:basedOn w:val="1"/>
    <w:uiPriority w:val="0"/>
    <w:pPr>
      <w:widowControl/>
      <w:jc w:val="center"/>
    </w:pPr>
    <w:rPr>
      <w:rFonts w:ascii="宋体" w:hAnsi="宋体" w:cs="宋体"/>
      <w:kern w:val="0"/>
      <w:sz w:val="20"/>
      <w:lang w:val="zh-CN"/>
    </w:rPr>
  </w:style>
  <w:style w:type="paragraph" w:customStyle="1" w:styleId="243">
    <w:name w:val="目录 31"/>
    <w:basedOn w:val="1"/>
    <w:next w:val="1"/>
    <w:qFormat/>
    <w:uiPriority w:val="39"/>
    <w:pPr>
      <w:widowControl/>
      <w:ind w:left="840" w:leftChars="400"/>
      <w:jc w:val="left"/>
    </w:pPr>
    <w:rPr>
      <w:rFonts w:ascii="宋体" w:hAnsi="宋体" w:cs="宋体"/>
      <w:kern w:val="0"/>
      <w:sz w:val="24"/>
    </w:rPr>
  </w:style>
  <w:style w:type="character" w:customStyle="1" w:styleId="244">
    <w:name w:val="浅色底纹 - 强调文字颜色 2字符"/>
    <w:link w:val="245"/>
    <w:uiPriority w:val="0"/>
    <w:rPr>
      <w:b/>
      <w:bCs/>
      <w:i/>
      <w:iCs/>
      <w:color w:val="4F81BD"/>
      <w:szCs w:val="24"/>
    </w:rPr>
  </w:style>
  <w:style w:type="paragraph" w:customStyle="1" w:styleId="245">
    <w:name w:val="浅色底纹 - 强调文字颜色 21"/>
    <w:basedOn w:val="1"/>
    <w:next w:val="1"/>
    <w:link w:val="244"/>
    <w:uiPriority w:val="0"/>
    <w:pPr>
      <w:widowControl/>
      <w:pBdr>
        <w:bottom w:val="single" w:color="4F81BD" w:sz="4" w:space="4"/>
      </w:pBdr>
      <w:spacing w:before="200" w:after="280"/>
      <w:ind w:left="936" w:right="936"/>
      <w:jc w:val="left"/>
    </w:pPr>
    <w:rPr>
      <w:rFonts w:ascii="Calibri" w:hAnsi="Calibri"/>
      <w:b/>
      <w:bCs/>
      <w:i/>
      <w:iCs/>
      <w:color w:val="4F81BD"/>
      <w:kern w:val="0"/>
      <w:sz w:val="20"/>
    </w:rPr>
  </w:style>
  <w:style w:type="character" w:customStyle="1" w:styleId="246">
    <w:name w:val="未处理的提及1"/>
    <w:uiPriority w:val="99"/>
    <w:rPr>
      <w:color w:val="605E5C"/>
      <w:shd w:val="clear" w:color="auto" w:fill="E1DFDD"/>
    </w:rPr>
  </w:style>
  <w:style w:type="paragraph" w:customStyle="1" w:styleId="247">
    <w:name w:val="目录 61"/>
    <w:basedOn w:val="1"/>
    <w:next w:val="1"/>
    <w:qFormat/>
    <w:uiPriority w:val="39"/>
    <w:pPr>
      <w:widowControl/>
      <w:ind w:left="2100" w:leftChars="1000"/>
      <w:jc w:val="left"/>
    </w:pPr>
    <w:rPr>
      <w:rFonts w:ascii="Calibri" w:hAnsi="Calibri" w:cs="宋体"/>
      <w:kern w:val="0"/>
      <w:sz w:val="24"/>
      <w:szCs w:val="22"/>
    </w:rPr>
  </w:style>
  <w:style w:type="paragraph" w:customStyle="1" w:styleId="248">
    <w:name w:val="目录 71"/>
    <w:basedOn w:val="1"/>
    <w:next w:val="1"/>
    <w:qFormat/>
    <w:uiPriority w:val="39"/>
    <w:pPr>
      <w:widowControl/>
      <w:ind w:left="2520" w:leftChars="1200"/>
      <w:jc w:val="left"/>
    </w:pPr>
    <w:rPr>
      <w:rFonts w:ascii="Calibri" w:hAnsi="Calibri" w:cs="宋体"/>
      <w:kern w:val="0"/>
      <w:sz w:val="24"/>
      <w:szCs w:val="22"/>
    </w:rPr>
  </w:style>
  <w:style w:type="paragraph" w:customStyle="1" w:styleId="249">
    <w:name w:val="目录 51"/>
    <w:basedOn w:val="1"/>
    <w:next w:val="1"/>
    <w:qFormat/>
    <w:uiPriority w:val="39"/>
    <w:pPr>
      <w:widowControl/>
      <w:ind w:left="1680" w:leftChars="800"/>
      <w:jc w:val="left"/>
    </w:pPr>
    <w:rPr>
      <w:rFonts w:ascii="Calibri" w:hAnsi="Calibri" w:cs="宋体"/>
      <w:kern w:val="0"/>
      <w:sz w:val="24"/>
      <w:szCs w:val="22"/>
    </w:rPr>
  </w:style>
  <w:style w:type="paragraph" w:customStyle="1" w:styleId="250">
    <w:name w:val="目录 41"/>
    <w:basedOn w:val="1"/>
    <w:next w:val="1"/>
    <w:qFormat/>
    <w:uiPriority w:val="39"/>
    <w:pPr>
      <w:widowControl/>
      <w:ind w:left="1260" w:leftChars="600"/>
      <w:jc w:val="left"/>
    </w:pPr>
    <w:rPr>
      <w:rFonts w:ascii="Calibri" w:hAnsi="Calibri" w:cs="宋体"/>
      <w:kern w:val="0"/>
      <w:sz w:val="24"/>
      <w:szCs w:val="22"/>
    </w:rPr>
  </w:style>
  <w:style w:type="paragraph" w:customStyle="1" w:styleId="251">
    <w:name w:val="目录 21"/>
    <w:basedOn w:val="1"/>
    <w:next w:val="1"/>
    <w:qFormat/>
    <w:uiPriority w:val="39"/>
    <w:pPr>
      <w:widowControl/>
      <w:ind w:left="210"/>
      <w:jc w:val="left"/>
    </w:pPr>
    <w:rPr>
      <w:rFonts w:ascii="Calibri" w:hAnsi="Calibri" w:cs="宋体"/>
      <w:smallCaps/>
      <w:kern w:val="0"/>
      <w:sz w:val="20"/>
      <w:szCs w:val="20"/>
    </w:rPr>
  </w:style>
  <w:style w:type="paragraph" w:customStyle="1" w:styleId="252">
    <w:name w:val="目录 11"/>
    <w:basedOn w:val="1"/>
    <w:next w:val="1"/>
    <w:qFormat/>
    <w:uiPriority w:val="39"/>
    <w:pPr>
      <w:widowControl/>
      <w:spacing w:before="120" w:after="120"/>
      <w:jc w:val="left"/>
    </w:pPr>
    <w:rPr>
      <w:rFonts w:ascii="Calibri" w:hAnsi="Calibri" w:cs="宋体"/>
      <w:b/>
      <w:bCs/>
      <w:caps/>
      <w:kern w:val="0"/>
      <w:sz w:val="20"/>
      <w:szCs w:val="20"/>
    </w:rPr>
  </w:style>
  <w:style w:type="paragraph" w:customStyle="1" w:styleId="253">
    <w:name w:val="目录 81"/>
    <w:basedOn w:val="1"/>
    <w:next w:val="1"/>
    <w:qFormat/>
    <w:uiPriority w:val="39"/>
    <w:pPr>
      <w:widowControl/>
      <w:ind w:left="2940" w:leftChars="1400"/>
      <w:jc w:val="left"/>
    </w:pPr>
    <w:rPr>
      <w:rFonts w:ascii="Calibri" w:hAnsi="Calibri" w:cs="宋体"/>
      <w:kern w:val="0"/>
      <w:sz w:val="24"/>
      <w:szCs w:val="22"/>
    </w:rPr>
  </w:style>
  <w:style w:type="paragraph" w:customStyle="1" w:styleId="254">
    <w:name w:val="目录 91"/>
    <w:basedOn w:val="1"/>
    <w:next w:val="1"/>
    <w:qFormat/>
    <w:uiPriority w:val="39"/>
    <w:pPr>
      <w:widowControl/>
      <w:ind w:left="3360" w:leftChars="1600"/>
      <w:jc w:val="left"/>
    </w:pPr>
    <w:rPr>
      <w:rFonts w:ascii="Calibri" w:hAnsi="Calibri" w:cs="宋体"/>
      <w:kern w:val="0"/>
      <w:sz w:val="24"/>
      <w:szCs w:val="22"/>
    </w:rPr>
  </w:style>
  <w:style w:type="paragraph" w:customStyle="1" w:styleId="255">
    <w:name w:val="图表目录1"/>
    <w:basedOn w:val="1"/>
    <w:next w:val="1"/>
    <w:uiPriority w:val="0"/>
    <w:pPr>
      <w:widowControl/>
      <w:ind w:left="420" w:hanging="420"/>
      <w:jc w:val="left"/>
    </w:pPr>
    <w:rPr>
      <w:rFonts w:ascii="宋体" w:hAnsi="宋体" w:cs="宋体"/>
      <w:smallCaps/>
      <w:kern w:val="0"/>
      <w:sz w:val="24"/>
    </w:rPr>
  </w:style>
  <w:style w:type="paragraph" w:customStyle="1" w:styleId="256">
    <w:name w:val="TOC 标题1"/>
    <w:basedOn w:val="2"/>
    <w:next w:val="1"/>
    <w:qFormat/>
    <w:uiPriority w:val="39"/>
    <w:pPr>
      <w:widowControl/>
      <w:numPr>
        <w:numId w:val="0"/>
      </w:numPr>
      <w:spacing w:before="480" w:after="0" w:line="276" w:lineRule="auto"/>
      <w:jc w:val="left"/>
      <w:outlineLvl w:val="9"/>
    </w:pPr>
    <w:rPr>
      <w:rFonts w:ascii="Cambria" w:hAnsi="Cambria" w:eastAsia="宋体" w:cs="宋体"/>
      <w:b/>
      <w:color w:val="365F91"/>
      <w:kern w:val="0"/>
      <w:sz w:val="28"/>
      <w:szCs w:val="28"/>
      <w:lang w:val="en-US" w:eastAsia="zh-CN"/>
    </w:rPr>
  </w:style>
  <w:style w:type="paragraph" w:customStyle="1" w:styleId="257">
    <w:name w:val="纯文本11"/>
    <w:basedOn w:val="1"/>
    <w:uiPriority w:val="0"/>
    <w:pPr>
      <w:widowControl/>
      <w:adjustRightInd w:val="0"/>
      <w:jc w:val="left"/>
      <w:textAlignment w:val="baseline"/>
    </w:pPr>
    <w:rPr>
      <w:rFonts w:ascii="宋体" w:hAnsi="Courier New" w:cs="宋体"/>
      <w:kern w:val="0"/>
      <w:sz w:val="24"/>
      <w:szCs w:val="20"/>
    </w:rPr>
  </w:style>
  <w:style w:type="paragraph" w:customStyle="1" w:styleId="258">
    <w:name w:val="彩色底纹 - 强调文字颜色 11"/>
    <w:uiPriority w:val="0"/>
    <w:rPr>
      <w:rFonts w:ascii="Times New Roman" w:hAnsi="Times New Roman" w:eastAsia="宋体" w:cs="Times New Roman"/>
      <w:kern w:val="2"/>
      <w:sz w:val="21"/>
      <w:szCs w:val="24"/>
      <w:lang w:val="en-US" w:eastAsia="zh-CN" w:bidi="ar-SA"/>
    </w:rPr>
  </w:style>
  <w:style w:type="paragraph" w:customStyle="1" w:styleId="259">
    <w:name w:val="修订1"/>
    <w:qFormat/>
    <w:uiPriority w:val="0"/>
    <w:rPr>
      <w:rFonts w:ascii="Times New Roman" w:hAnsi="Times New Roman" w:eastAsia="宋体" w:cs="Times New Roman"/>
      <w:kern w:val="2"/>
      <w:sz w:val="21"/>
      <w:szCs w:val="24"/>
      <w:lang w:val="en-US" w:eastAsia="zh-CN" w:bidi="ar-SA"/>
    </w:rPr>
  </w:style>
  <w:style w:type="character" w:customStyle="1" w:styleId="260">
    <w:name w:val="明显强调2"/>
    <w:qFormat/>
    <w:uiPriority w:val="21"/>
    <w:rPr>
      <w:i/>
      <w:iCs/>
      <w:color w:val="5B9BD5"/>
    </w:rPr>
  </w:style>
  <w:style w:type="paragraph" w:customStyle="1" w:styleId="261">
    <w:name w:val="Table Paragraph"/>
    <w:basedOn w:val="1"/>
    <w:qFormat/>
    <w:uiPriority w:val="1"/>
    <w:pPr>
      <w:widowControl/>
      <w:autoSpaceDE w:val="0"/>
      <w:autoSpaceDN w:val="0"/>
      <w:jc w:val="center"/>
    </w:pPr>
    <w:rPr>
      <w:rFonts w:ascii="宋体" w:hAnsi="宋体" w:eastAsia="Times New Roman" w:cs="宋体"/>
      <w:kern w:val="0"/>
      <w:sz w:val="22"/>
      <w:szCs w:val="22"/>
      <w:lang w:eastAsia="en-US"/>
    </w:rPr>
  </w:style>
  <w:style w:type="character" w:customStyle="1" w:styleId="262">
    <w:name w:val="纯文本 字符1"/>
    <w:uiPriority w:val="0"/>
    <w:rPr>
      <w:rFonts w:ascii="宋体" w:hAnsi="Courier New" w:cs="Courier New"/>
      <w:szCs w:val="21"/>
    </w:rPr>
  </w:style>
  <w:style w:type="character" w:customStyle="1" w:styleId="263">
    <w:name w:val="纯文本 Char2"/>
    <w:semiHidden/>
    <w:uiPriority w:val="99"/>
    <w:rPr>
      <w:rFonts w:ascii="宋体" w:hAnsi="Courier New" w:cs="Courier New"/>
      <w:kern w:val="2"/>
      <w:sz w:val="21"/>
      <w:szCs w:val="21"/>
    </w:rPr>
  </w:style>
  <w:style w:type="paragraph" w:customStyle="1" w:styleId="264">
    <w:name w:val="修订2"/>
    <w:hidden/>
    <w:semiHidden/>
    <w:uiPriority w:val="99"/>
    <w:rPr>
      <w:rFonts w:ascii="Times New Roman" w:hAnsi="Times New Roman" w:eastAsia="宋体" w:cs="Times New Roman"/>
      <w:kern w:val="2"/>
      <w:sz w:val="21"/>
      <w:szCs w:val="24"/>
      <w:lang w:val="en-US" w:eastAsia="zh-CN" w:bidi="ar-SA"/>
    </w:rPr>
  </w:style>
  <w:style w:type="character" w:customStyle="1" w:styleId="265">
    <w:name w:val="日期 字符1"/>
    <w:semiHidden/>
    <w:uiPriority w:val="99"/>
    <w:rPr>
      <w:kern w:val="2"/>
      <w:sz w:val="21"/>
      <w:szCs w:val="24"/>
    </w:rPr>
  </w:style>
  <w:style w:type="character" w:customStyle="1" w:styleId="266">
    <w:name w:val="批注主题 字符1"/>
    <w:semiHidden/>
    <w:uiPriority w:val="99"/>
    <w:rPr>
      <w:rFonts w:eastAsia="仿宋_GB2312"/>
      <w:b/>
      <w:bCs/>
      <w:kern w:val="2"/>
      <w:sz w:val="21"/>
      <w:szCs w:val="24"/>
    </w:rPr>
  </w:style>
  <w:style w:type="table" w:customStyle="1" w:styleId="267">
    <w:name w:val="网格型浅色1"/>
    <w:basedOn w:val="45"/>
    <w:uiPriority w:val="40"/>
    <w:rPr>
      <w:rFonts w:ascii="Times New Roman" w:hAnsi="Times New Roman"/>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268">
    <w:name w:val="无格式表格 21"/>
    <w:basedOn w:val="45"/>
    <w:uiPriority w:val="42"/>
    <w:rPr>
      <w:rFonts w:ascii="Times New Roman" w:hAnsi="Times New Roman"/>
    </w:rPr>
    <w:tblPr>
      <w:tblBorders>
        <w:top w:val="single" w:color="7F7F7F" w:sz="4" w:space="0"/>
        <w:bottom w:val="single" w:color="7F7F7F" w:sz="4" w:space="0"/>
      </w:tblBorders>
    </w:tblPr>
    <w:tblStylePr w:type="firstRow">
      <w:rPr>
        <w:b/>
        <w:bCs/>
      </w:rPr>
      <w:tcPr>
        <w:tcBorders>
          <w:bottom w:val="single" w:color="7F7F7F" w:sz="4" w:space="0"/>
        </w:tcBorders>
      </w:tcPr>
    </w:tblStylePr>
    <w:tblStylePr w:type="lastRow">
      <w:rPr>
        <w:b/>
        <w:bCs/>
      </w:rPr>
      <w:tcPr>
        <w:tcBorders>
          <w:top w:val="single" w:color="7F7F7F" w:sz="4" w:space="0"/>
        </w:tcBorders>
      </w:tcPr>
    </w:tblStylePr>
    <w:tblStylePr w:type="firstCol">
      <w:rPr>
        <w:b/>
        <w:bCs/>
      </w:rPr>
    </w:tblStylePr>
    <w:tblStylePr w:type="lastCol">
      <w:rPr>
        <w:b/>
        <w:bCs/>
      </w:rPr>
    </w:tblStylePr>
    <w:tblStylePr w:type="band1Vert">
      <w:tcPr>
        <w:tcBorders>
          <w:left w:val="single" w:color="7F7F7F" w:sz="4" w:space="0"/>
          <w:right w:val="single" w:color="7F7F7F" w:sz="4" w:space="0"/>
        </w:tcBorders>
      </w:tcPr>
    </w:tblStylePr>
    <w:tblStylePr w:type="band2Vert">
      <w:tcPr>
        <w:tcBorders>
          <w:left w:val="single" w:color="7F7F7F" w:sz="4" w:space="0"/>
          <w:right w:val="single" w:color="7F7F7F" w:sz="4" w:space="0"/>
        </w:tcBorders>
      </w:tcPr>
    </w:tblStylePr>
    <w:tblStylePr w:type="band1Horz">
      <w:tcPr>
        <w:tcBorders>
          <w:top w:val="single" w:color="7F7F7F" w:sz="4" w:space="0"/>
          <w:bottom w:val="single" w:color="7F7F7F" w:sz="4" w:space="0"/>
        </w:tcBorders>
      </w:tcPr>
    </w:tblStylePr>
  </w:style>
  <w:style w:type="character" w:customStyle="1" w:styleId="269">
    <w:name w:val="未处理的提及2"/>
    <w:semiHidden/>
    <w:unhideWhenUsed/>
    <w:uiPriority w:val="99"/>
    <w:rPr>
      <w:color w:val="605E5C"/>
      <w:shd w:val="clear" w:color="auto" w:fill="E1DFDD"/>
    </w:rPr>
  </w:style>
  <w:style w:type="character" w:customStyle="1" w:styleId="270">
    <w:name w:val="apple-converted-space"/>
    <w:basedOn w:val="47"/>
    <w:uiPriority w:val="0"/>
  </w:style>
  <w:style w:type="paragraph" w:customStyle="1" w:styleId="271">
    <w:name w:val="*表标题"/>
    <w:basedOn w:val="1"/>
    <w:qFormat/>
    <w:uiPriority w:val="0"/>
    <w:pPr>
      <w:spacing w:line="500" w:lineRule="exact"/>
      <w:jc w:val="center"/>
    </w:pPr>
    <w:rPr>
      <w:sz w:val="24"/>
    </w:rPr>
  </w:style>
  <w:style w:type="paragraph" w:customStyle="1" w:styleId="272">
    <w:name w:val="彩色列表 - 着色 11"/>
    <w:basedOn w:val="1"/>
    <w:qFormat/>
    <w:uiPriority w:val="99"/>
    <w:pPr>
      <w:spacing w:line="360" w:lineRule="auto"/>
      <w:ind w:firstLine="420" w:firstLineChars="200"/>
    </w:pPr>
    <w:rPr>
      <w:rFonts w:ascii="Calibri" w:hAnsi="Calibri" w:cs="Calibri"/>
      <w:kern w:val="0"/>
      <w:sz w:val="20"/>
      <w:szCs w:val="21"/>
    </w:rPr>
  </w:style>
  <w:style w:type="paragraph" w:customStyle="1" w:styleId="273">
    <w:name w:val="纯文本13"/>
    <w:basedOn w:val="1"/>
    <w:uiPriority w:val="0"/>
    <w:pPr>
      <w:adjustRightInd w:val="0"/>
      <w:jc w:val="left"/>
      <w:textAlignment w:val="baseline"/>
    </w:pPr>
    <w:rPr>
      <w:rFonts w:ascii="宋体" w:hAnsi="Courier New"/>
      <w:sz w:val="24"/>
      <w:szCs w:val="20"/>
    </w:rPr>
  </w:style>
  <w:style w:type="character" w:styleId="274">
    <w:name w:val="Placeholder Text"/>
    <w:basedOn w:val="47"/>
    <w:semiHidden/>
    <w:uiPriority w:val="99"/>
    <w:rPr>
      <w:color w:val="808080"/>
    </w:rPr>
  </w:style>
  <w:style w:type="paragraph" w:customStyle="1" w:styleId="275">
    <w:name w:val="msonormal"/>
    <w:basedOn w:val="1"/>
    <w:uiPriority w:val="0"/>
    <w:pPr>
      <w:widowControl/>
      <w:spacing w:before="100" w:beforeAutospacing="1" w:after="100" w:afterAutospacing="1"/>
      <w:jc w:val="left"/>
    </w:pPr>
    <w:rPr>
      <w:rFonts w:ascii="宋体" w:hAnsi="宋体" w:cs="宋体"/>
      <w:kern w:val="0"/>
      <w:sz w:val="24"/>
    </w:rPr>
  </w:style>
  <w:style w:type="paragraph" w:customStyle="1" w:styleId="276">
    <w:name w:val="font5"/>
    <w:basedOn w:val="1"/>
    <w:uiPriority w:val="0"/>
    <w:pPr>
      <w:widowControl/>
      <w:spacing w:before="100" w:beforeAutospacing="1" w:after="100" w:afterAutospacing="1"/>
      <w:jc w:val="left"/>
    </w:pPr>
    <w:rPr>
      <w:color w:val="000000"/>
      <w:kern w:val="0"/>
      <w:sz w:val="24"/>
    </w:rPr>
  </w:style>
  <w:style w:type="paragraph" w:customStyle="1" w:styleId="277">
    <w:name w:val="font7"/>
    <w:basedOn w:val="1"/>
    <w:uiPriority w:val="0"/>
    <w:pPr>
      <w:widowControl/>
      <w:spacing w:before="100" w:beforeAutospacing="1" w:after="100" w:afterAutospacing="1"/>
      <w:jc w:val="left"/>
    </w:pPr>
    <w:rPr>
      <w:rFonts w:ascii="宋体" w:hAnsi="宋体" w:cs="宋体"/>
      <w:color w:val="000000"/>
      <w:kern w:val="0"/>
      <w:sz w:val="24"/>
    </w:rPr>
  </w:style>
  <w:style w:type="paragraph" w:customStyle="1" w:styleId="278">
    <w:name w:val="font8"/>
    <w:basedOn w:val="1"/>
    <w:uiPriority w:val="0"/>
    <w:pPr>
      <w:widowControl/>
      <w:spacing w:before="100" w:beforeAutospacing="1" w:after="100" w:afterAutospacing="1"/>
      <w:jc w:val="left"/>
    </w:pPr>
    <w:rPr>
      <w:rFonts w:ascii="宋体" w:hAnsi="宋体" w:cs="宋体"/>
      <w:b/>
      <w:bCs/>
      <w:color w:val="000000"/>
      <w:kern w:val="0"/>
      <w:sz w:val="24"/>
    </w:rPr>
  </w:style>
  <w:style w:type="paragraph" w:customStyle="1" w:styleId="279">
    <w:name w:val="font9"/>
    <w:basedOn w:val="1"/>
    <w:uiPriority w:val="0"/>
    <w:pPr>
      <w:widowControl/>
      <w:spacing w:before="100" w:beforeAutospacing="1" w:after="100" w:afterAutospacing="1"/>
      <w:jc w:val="left"/>
    </w:pPr>
    <w:rPr>
      <w:rFonts w:ascii="宋体" w:hAnsi="宋体" w:cs="宋体"/>
      <w:color w:val="000000"/>
      <w:kern w:val="0"/>
      <w:sz w:val="24"/>
    </w:rPr>
  </w:style>
  <w:style w:type="paragraph" w:customStyle="1" w:styleId="280">
    <w:name w:val="font10"/>
    <w:basedOn w:val="1"/>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281">
    <w:name w:val="font11"/>
    <w:basedOn w:val="1"/>
    <w:uiPriority w:val="0"/>
    <w:pPr>
      <w:widowControl/>
      <w:spacing w:before="100" w:beforeAutospacing="1" w:after="100" w:afterAutospacing="1"/>
      <w:jc w:val="left"/>
    </w:pPr>
    <w:rPr>
      <w:color w:val="000000"/>
      <w:kern w:val="0"/>
      <w:sz w:val="24"/>
    </w:rPr>
  </w:style>
  <w:style w:type="paragraph" w:customStyle="1" w:styleId="282">
    <w:name w:val="xl63"/>
    <w:basedOn w:val="1"/>
    <w:uiPriority w:val="0"/>
    <w:pPr>
      <w:widowControl/>
      <w:spacing w:before="100" w:beforeAutospacing="1" w:after="100" w:afterAutospacing="1"/>
      <w:jc w:val="left"/>
    </w:pPr>
    <w:rPr>
      <w:kern w:val="0"/>
      <w:sz w:val="24"/>
    </w:rPr>
  </w:style>
  <w:style w:type="paragraph" w:customStyle="1" w:styleId="283">
    <w:name w:val="xl64"/>
    <w:basedOn w:val="1"/>
    <w:uiPriority w:val="0"/>
    <w:pPr>
      <w:widowControl/>
      <w:spacing w:before="100" w:beforeAutospacing="1" w:after="100" w:afterAutospacing="1"/>
      <w:jc w:val="left"/>
    </w:pPr>
    <w:rPr>
      <w:kern w:val="0"/>
      <w:sz w:val="24"/>
    </w:rPr>
  </w:style>
  <w:style w:type="paragraph" w:customStyle="1" w:styleId="284">
    <w:name w:val="xl6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4"/>
    </w:rPr>
  </w:style>
  <w:style w:type="paragraph" w:customStyle="1" w:styleId="285">
    <w:name w:val="xl6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286">
    <w:name w:val="xl6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287">
    <w:name w:val="xl6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288">
    <w:name w:val="xl6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289">
    <w:name w:val="xl70"/>
    <w:basedOn w:val="1"/>
    <w:uiPriority w:val="0"/>
    <w:pPr>
      <w:widowControl/>
      <w:pBdr>
        <w:top w:val="single" w:color="auto" w:sz="8" w:space="0"/>
        <w:right w:val="single" w:color="auto" w:sz="8" w:space="0"/>
      </w:pBdr>
      <w:spacing w:before="100" w:beforeAutospacing="1" w:after="100" w:afterAutospacing="1"/>
      <w:jc w:val="center"/>
    </w:pPr>
    <w:rPr>
      <w:b/>
      <w:bCs/>
      <w:kern w:val="0"/>
      <w:sz w:val="24"/>
    </w:rPr>
  </w:style>
  <w:style w:type="paragraph" w:customStyle="1" w:styleId="290">
    <w:name w:val="xl71"/>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291">
    <w:name w:val="xl72"/>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292">
    <w:name w:val="xl73"/>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293">
    <w:name w:val="xl7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294">
    <w:name w:val="xl75"/>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kern w:val="0"/>
      <w:sz w:val="24"/>
    </w:rPr>
  </w:style>
  <w:style w:type="paragraph" w:customStyle="1" w:styleId="295">
    <w:name w:val="xl76"/>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cs="宋体"/>
      <w:kern w:val="0"/>
      <w:sz w:val="24"/>
    </w:rPr>
  </w:style>
  <w:style w:type="paragraph" w:customStyle="1" w:styleId="296">
    <w:name w:val="xl77"/>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297">
    <w:name w:val="xl78"/>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298">
    <w:name w:val="xl79"/>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299">
    <w:name w:val="xl8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00">
    <w:name w:val="xl81"/>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01">
    <w:name w:val="xl82"/>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02">
    <w:name w:val="xl83"/>
    <w:basedOn w:val="1"/>
    <w:uiPriority w:val="0"/>
    <w:pPr>
      <w:widowControl/>
      <w:pBdr>
        <w:top w:val="single" w:color="auto" w:sz="8" w:space="0"/>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03">
    <w:name w:val="xl84"/>
    <w:basedOn w:val="1"/>
    <w:uiPriority w:val="0"/>
    <w:pPr>
      <w:widowControl/>
      <w:pBdr>
        <w:top w:val="single" w:color="auto" w:sz="8" w:space="0"/>
        <w:left w:val="single" w:color="auto" w:sz="4" w:space="0"/>
        <w:bottom w:val="single" w:color="auto" w:sz="8" w:space="0"/>
        <w:right w:val="single" w:color="auto" w:sz="4" w:space="0"/>
      </w:pBdr>
      <w:spacing w:before="100" w:beforeAutospacing="1" w:after="100" w:afterAutospacing="1"/>
      <w:jc w:val="center"/>
    </w:pPr>
    <w:rPr>
      <w:rFonts w:ascii="宋体" w:hAnsi="宋体" w:cs="宋体"/>
      <w:kern w:val="0"/>
      <w:sz w:val="24"/>
    </w:rPr>
  </w:style>
  <w:style w:type="paragraph" w:customStyle="1" w:styleId="304">
    <w:name w:val="xl85"/>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305">
    <w:name w:val="xl86"/>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06">
    <w:name w:val="xl87"/>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kern w:val="0"/>
      <w:sz w:val="24"/>
    </w:rPr>
  </w:style>
  <w:style w:type="paragraph" w:customStyle="1" w:styleId="307">
    <w:name w:val="xl88"/>
    <w:basedOn w:val="1"/>
    <w:uiPriority w:val="0"/>
    <w:pPr>
      <w:widowControl/>
      <w:pBdr>
        <w:top w:val="single" w:color="auto" w:sz="8" w:space="0"/>
        <w:bottom w:val="single" w:color="auto" w:sz="4" w:space="0"/>
        <w:right w:val="single" w:color="auto" w:sz="4" w:space="0"/>
      </w:pBdr>
      <w:spacing w:before="100" w:beforeAutospacing="1" w:after="100" w:afterAutospacing="1"/>
      <w:jc w:val="center"/>
    </w:pPr>
    <w:rPr>
      <w:kern w:val="0"/>
      <w:sz w:val="24"/>
    </w:rPr>
  </w:style>
  <w:style w:type="paragraph" w:customStyle="1" w:styleId="308">
    <w:name w:val="xl89"/>
    <w:basedOn w:val="1"/>
    <w:uiPriority w:val="0"/>
    <w:pPr>
      <w:widowControl/>
      <w:pBdr>
        <w:top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309">
    <w:name w:val="xl90"/>
    <w:basedOn w:val="1"/>
    <w:uiPriority w:val="0"/>
    <w:pPr>
      <w:widowControl/>
      <w:pBdr>
        <w:top w:val="single" w:color="auto" w:sz="4" w:space="0"/>
        <w:right w:val="single" w:color="auto" w:sz="4" w:space="0"/>
      </w:pBdr>
      <w:spacing w:before="100" w:beforeAutospacing="1" w:after="100" w:afterAutospacing="1"/>
      <w:jc w:val="center"/>
    </w:pPr>
    <w:rPr>
      <w:kern w:val="0"/>
      <w:sz w:val="24"/>
    </w:rPr>
  </w:style>
  <w:style w:type="paragraph" w:customStyle="1" w:styleId="310">
    <w:name w:val="xl91"/>
    <w:basedOn w:val="1"/>
    <w:uiPriority w:val="0"/>
    <w:pPr>
      <w:widowControl/>
      <w:pBdr>
        <w:bottom w:val="single" w:color="auto" w:sz="4" w:space="0"/>
        <w:right w:val="single" w:color="auto" w:sz="4" w:space="0"/>
      </w:pBdr>
      <w:spacing w:before="100" w:beforeAutospacing="1" w:after="100" w:afterAutospacing="1"/>
      <w:jc w:val="center"/>
    </w:pPr>
    <w:rPr>
      <w:kern w:val="0"/>
      <w:sz w:val="24"/>
    </w:rPr>
  </w:style>
  <w:style w:type="paragraph" w:customStyle="1" w:styleId="311">
    <w:name w:val="xl92"/>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12">
    <w:name w:val="xl93"/>
    <w:basedOn w:val="1"/>
    <w:uiPriority w:val="0"/>
    <w:pPr>
      <w:widowControl/>
      <w:pBdr>
        <w:top w:val="single" w:color="auto" w:sz="8" w:space="0"/>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13">
    <w:name w:val="xl94"/>
    <w:basedOn w:val="1"/>
    <w:uiPriority w:val="0"/>
    <w:pPr>
      <w:widowControl/>
      <w:pBdr>
        <w:left w:val="single" w:color="auto" w:sz="4" w:space="0"/>
        <w:bottom w:val="single" w:color="auto" w:sz="8" w:space="0"/>
        <w:right w:val="single" w:color="auto" w:sz="4" w:space="0"/>
      </w:pBdr>
      <w:spacing w:before="100" w:beforeAutospacing="1" w:after="100" w:afterAutospacing="1"/>
      <w:jc w:val="center"/>
    </w:pPr>
    <w:rPr>
      <w:kern w:val="0"/>
      <w:sz w:val="24"/>
    </w:rPr>
  </w:style>
  <w:style w:type="paragraph" w:customStyle="1" w:styleId="314">
    <w:name w:val="xl95"/>
    <w:basedOn w:val="1"/>
    <w:uiPriority w:val="0"/>
    <w:pPr>
      <w:widowControl/>
      <w:pBdr>
        <w:top w:val="single" w:color="auto" w:sz="8" w:space="0"/>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15">
    <w:name w:val="xl96"/>
    <w:basedOn w:val="1"/>
    <w:uiPriority w:val="0"/>
    <w:pPr>
      <w:widowControl/>
      <w:pBdr>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16">
    <w:name w:val="xl97"/>
    <w:basedOn w:val="1"/>
    <w:uiPriority w:val="0"/>
    <w:pPr>
      <w:widowControl/>
      <w:pBdr>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17">
    <w:name w:val="xl98"/>
    <w:basedOn w:val="1"/>
    <w:uiPriority w:val="0"/>
    <w:pPr>
      <w:widowControl/>
      <w:pBdr>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18">
    <w:name w:val="xl99"/>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19">
    <w:name w:val="xl100"/>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20">
    <w:name w:val="xl101"/>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21">
    <w:name w:val="xl102"/>
    <w:basedOn w:val="1"/>
    <w:uiPriority w:val="0"/>
    <w:pPr>
      <w:widowControl/>
      <w:pBdr>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22">
    <w:name w:val="xl103"/>
    <w:basedOn w:val="1"/>
    <w:uiPriority w:val="0"/>
    <w:pPr>
      <w:widowControl/>
      <w:pBdr>
        <w:top w:val="single" w:color="auto" w:sz="8" w:space="0"/>
        <w:left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23">
    <w:name w:val="xl104"/>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24">
    <w:name w:val="xl105"/>
    <w:basedOn w:val="1"/>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宋体" w:hAnsi="宋体" w:cs="宋体"/>
      <w:kern w:val="0"/>
      <w:sz w:val="24"/>
    </w:rPr>
  </w:style>
  <w:style w:type="paragraph" w:customStyle="1" w:styleId="325">
    <w:name w:val="xl106"/>
    <w:basedOn w:val="1"/>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pPr>
    <w:rPr>
      <w:kern w:val="0"/>
      <w:sz w:val="24"/>
    </w:rPr>
  </w:style>
  <w:style w:type="paragraph" w:customStyle="1" w:styleId="326">
    <w:name w:val="xl107"/>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27">
    <w:name w:val="xl108"/>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28">
    <w:name w:val="xl109"/>
    <w:basedOn w:val="1"/>
    <w:uiPriority w:val="0"/>
    <w:pPr>
      <w:widowControl/>
      <w:pBdr>
        <w:left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29">
    <w:name w:val="xl110"/>
    <w:basedOn w:val="1"/>
    <w:uiPriority w:val="0"/>
    <w:pPr>
      <w:widowControl/>
      <w:pBdr>
        <w:left w:val="single" w:color="auto" w:sz="4" w:space="0"/>
        <w:right w:val="single" w:color="auto" w:sz="4" w:space="0"/>
      </w:pBdr>
      <w:shd w:val="clear" w:color="000000" w:fill="FFFF00"/>
      <w:spacing w:before="100" w:beforeAutospacing="1" w:after="100" w:afterAutospacing="1"/>
      <w:jc w:val="center"/>
    </w:pPr>
    <w:rPr>
      <w:color w:val="000000"/>
      <w:kern w:val="0"/>
      <w:sz w:val="24"/>
    </w:rPr>
  </w:style>
  <w:style w:type="paragraph" w:customStyle="1" w:styleId="330">
    <w:name w:val="xl111"/>
    <w:basedOn w:val="1"/>
    <w:uiPriority w:val="0"/>
    <w:pPr>
      <w:widowControl/>
      <w:pBdr>
        <w:top w:val="single" w:color="auto" w:sz="4" w:space="0"/>
        <w:left w:val="single" w:color="auto" w:sz="4" w:space="0"/>
        <w:bottom w:val="single" w:color="auto" w:sz="4" w:space="0"/>
        <w:right w:val="single" w:color="auto" w:sz="4" w:space="0"/>
      </w:pBdr>
      <w:shd w:val="clear" w:color="000000" w:fill="ED7D31"/>
      <w:spacing w:before="100" w:beforeAutospacing="1" w:after="100" w:afterAutospacing="1"/>
      <w:jc w:val="center"/>
    </w:pPr>
    <w:rPr>
      <w:color w:val="000000"/>
      <w:kern w:val="0"/>
      <w:sz w:val="24"/>
    </w:rPr>
  </w:style>
  <w:style w:type="paragraph" w:customStyle="1" w:styleId="331">
    <w:name w:val="xl112"/>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32">
    <w:name w:val="xl113"/>
    <w:basedOn w:val="1"/>
    <w:uiPriority w:val="0"/>
    <w:pPr>
      <w:widowControl/>
      <w:pBdr>
        <w:top w:val="single" w:color="auto" w:sz="4" w:space="0"/>
        <w:left w:val="single" w:color="auto" w:sz="4" w:space="0"/>
        <w:bottom w:val="single" w:color="auto" w:sz="8" w:space="0"/>
        <w:right w:val="single" w:color="auto" w:sz="4" w:space="0"/>
      </w:pBdr>
      <w:shd w:val="clear" w:color="000000" w:fill="FFFF00"/>
      <w:spacing w:before="100" w:beforeAutospacing="1" w:after="100" w:afterAutospacing="1"/>
      <w:jc w:val="center"/>
    </w:pPr>
    <w:rPr>
      <w:color w:val="000000"/>
      <w:kern w:val="0"/>
      <w:sz w:val="24"/>
    </w:rPr>
  </w:style>
  <w:style w:type="paragraph" w:customStyle="1" w:styleId="333">
    <w:name w:val="xl114"/>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34">
    <w:name w:val="xl11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35">
    <w:name w:val="xl116"/>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36">
    <w:name w:val="xl117"/>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37">
    <w:name w:val="xl118"/>
    <w:basedOn w:val="1"/>
    <w:uiPriority w:val="0"/>
    <w:pPr>
      <w:widowControl/>
      <w:pBdr>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38">
    <w:name w:val="xl119"/>
    <w:basedOn w:val="1"/>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color w:val="000000"/>
      <w:kern w:val="0"/>
      <w:sz w:val="24"/>
    </w:rPr>
  </w:style>
  <w:style w:type="paragraph" w:customStyle="1" w:styleId="339">
    <w:name w:val="xl120"/>
    <w:basedOn w:val="1"/>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color w:val="000000"/>
      <w:kern w:val="0"/>
      <w:sz w:val="24"/>
    </w:rPr>
  </w:style>
  <w:style w:type="paragraph" w:customStyle="1" w:styleId="340">
    <w:name w:val="xl121"/>
    <w:basedOn w:val="1"/>
    <w:uiPriority w:val="0"/>
    <w:pPr>
      <w:widowControl/>
      <w:pBdr>
        <w:top w:val="single" w:color="auto" w:sz="4" w:space="0"/>
        <w:left w:val="single" w:color="auto" w:sz="4" w:space="0"/>
        <w:bottom w:val="single" w:color="auto" w:sz="8" w:space="0"/>
        <w:right w:val="single" w:color="auto" w:sz="8" w:space="0"/>
      </w:pBdr>
      <w:shd w:val="clear" w:color="000000" w:fill="ED7D31"/>
      <w:spacing w:before="100" w:beforeAutospacing="1" w:after="100" w:afterAutospacing="1"/>
      <w:jc w:val="center"/>
    </w:pPr>
    <w:rPr>
      <w:color w:val="000000"/>
      <w:kern w:val="0"/>
      <w:sz w:val="24"/>
    </w:rPr>
  </w:style>
  <w:style w:type="paragraph" w:customStyle="1" w:styleId="341">
    <w:name w:val="xl122"/>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rFonts w:ascii="宋体" w:hAnsi="宋体" w:cs="宋体"/>
      <w:kern w:val="0"/>
      <w:sz w:val="24"/>
    </w:rPr>
  </w:style>
  <w:style w:type="paragraph" w:customStyle="1" w:styleId="342">
    <w:name w:val="xl123"/>
    <w:basedOn w:val="1"/>
    <w:uiPriority w:val="0"/>
    <w:pPr>
      <w:widowControl/>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pPr>
    <w:rPr>
      <w:color w:val="000000"/>
      <w:kern w:val="0"/>
      <w:sz w:val="24"/>
    </w:rPr>
  </w:style>
  <w:style w:type="paragraph" w:customStyle="1" w:styleId="343">
    <w:name w:val="xl124"/>
    <w:basedOn w:val="1"/>
    <w:uiPriority w:val="0"/>
    <w:pPr>
      <w:widowControl/>
      <w:pBdr>
        <w:right w:val="single" w:color="auto" w:sz="4" w:space="0"/>
      </w:pBdr>
      <w:spacing w:before="100" w:beforeAutospacing="1" w:after="100" w:afterAutospacing="1"/>
      <w:jc w:val="center"/>
    </w:pPr>
    <w:rPr>
      <w:kern w:val="0"/>
      <w:sz w:val="24"/>
    </w:rPr>
  </w:style>
  <w:style w:type="paragraph" w:customStyle="1" w:styleId="344">
    <w:name w:val="xl125"/>
    <w:basedOn w:val="1"/>
    <w:uiPriority w:val="0"/>
    <w:pPr>
      <w:widowControl/>
      <w:pBdr>
        <w:top w:val="single" w:color="auto" w:sz="8" w:space="0"/>
        <w:left w:val="single" w:color="auto" w:sz="4" w:space="0"/>
        <w:right w:val="single" w:color="auto" w:sz="4" w:space="0"/>
      </w:pBdr>
      <w:shd w:val="clear" w:color="000000" w:fill="70AD47"/>
      <w:spacing w:before="100" w:beforeAutospacing="1" w:after="100" w:afterAutospacing="1"/>
      <w:jc w:val="center"/>
    </w:pPr>
    <w:rPr>
      <w:kern w:val="0"/>
      <w:sz w:val="24"/>
    </w:rPr>
  </w:style>
  <w:style w:type="paragraph" w:customStyle="1" w:styleId="345">
    <w:name w:val="xl126"/>
    <w:basedOn w:val="1"/>
    <w:uiPriority w:val="0"/>
    <w:pPr>
      <w:widowControl/>
      <w:pBdr>
        <w:top w:val="single" w:color="auto" w:sz="8" w:space="0"/>
        <w:left w:val="single" w:color="auto" w:sz="4" w:space="0"/>
        <w:bottom w:val="single" w:color="auto" w:sz="4"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46">
    <w:name w:val="xl127"/>
    <w:basedOn w:val="1"/>
    <w:uiPriority w:val="0"/>
    <w:pPr>
      <w:widowControl/>
      <w:pBdr>
        <w:top w:val="single" w:color="auto" w:sz="8" w:space="0"/>
        <w:left w:val="single" w:color="auto" w:sz="4" w:space="0"/>
        <w:bottom w:val="single" w:color="auto" w:sz="4" w:space="0"/>
        <w:right w:val="single" w:color="auto" w:sz="4" w:space="0"/>
      </w:pBdr>
      <w:shd w:val="clear" w:color="000000" w:fill="70AD47"/>
      <w:spacing w:before="100" w:beforeAutospacing="1" w:after="100" w:afterAutospacing="1"/>
      <w:jc w:val="center"/>
    </w:pPr>
    <w:rPr>
      <w:color w:val="000000"/>
      <w:kern w:val="0"/>
      <w:sz w:val="24"/>
    </w:rPr>
  </w:style>
  <w:style w:type="paragraph" w:customStyle="1" w:styleId="347">
    <w:name w:val="xl128"/>
    <w:basedOn w:val="1"/>
    <w:uiPriority w:val="0"/>
    <w:pPr>
      <w:widowControl/>
      <w:pBdr>
        <w:top w:val="single" w:color="auto" w:sz="8" w:space="0"/>
        <w:left w:val="single" w:color="auto" w:sz="4" w:space="0"/>
        <w:bottom w:val="single" w:color="auto" w:sz="4" w:space="0"/>
        <w:right w:val="single" w:color="auto" w:sz="4" w:space="0"/>
      </w:pBdr>
      <w:shd w:val="clear" w:color="000000" w:fill="70AD47"/>
      <w:spacing w:before="100" w:beforeAutospacing="1" w:after="100" w:afterAutospacing="1"/>
      <w:jc w:val="center"/>
    </w:pPr>
    <w:rPr>
      <w:color w:val="000000"/>
      <w:kern w:val="0"/>
      <w:sz w:val="24"/>
    </w:rPr>
  </w:style>
  <w:style w:type="paragraph" w:customStyle="1" w:styleId="348">
    <w:name w:val="xl129"/>
    <w:basedOn w:val="1"/>
    <w:uiPriority w:val="0"/>
    <w:pPr>
      <w:widowControl/>
      <w:pBdr>
        <w:top w:val="single" w:color="auto" w:sz="8" w:space="0"/>
        <w:left w:val="single" w:color="auto" w:sz="8"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49">
    <w:name w:val="xl130"/>
    <w:basedOn w:val="1"/>
    <w:uiPriority w:val="0"/>
    <w:pPr>
      <w:widowControl/>
      <w:pBdr>
        <w:top w:val="single" w:color="auto" w:sz="4" w:space="0"/>
        <w:left w:val="single" w:color="auto" w:sz="4" w:space="0"/>
        <w:right w:val="single" w:color="auto" w:sz="4" w:space="0"/>
      </w:pBdr>
      <w:shd w:val="clear" w:color="000000" w:fill="FFFF00"/>
      <w:spacing w:before="100" w:beforeAutospacing="1" w:after="100" w:afterAutospacing="1"/>
      <w:jc w:val="center"/>
    </w:pPr>
    <w:rPr>
      <w:color w:val="000000"/>
      <w:kern w:val="0"/>
      <w:sz w:val="24"/>
    </w:rPr>
  </w:style>
  <w:style w:type="paragraph" w:customStyle="1" w:styleId="350">
    <w:name w:val="xl131"/>
    <w:basedOn w:val="1"/>
    <w:uiPriority w:val="0"/>
    <w:pPr>
      <w:widowControl/>
      <w:pBdr>
        <w:top w:val="single" w:color="auto" w:sz="4" w:space="0"/>
        <w:bottom w:val="single" w:color="auto" w:sz="8" w:space="0"/>
        <w:right w:val="single" w:color="auto" w:sz="4" w:space="0"/>
      </w:pBdr>
      <w:spacing w:before="100" w:beforeAutospacing="1" w:after="100" w:afterAutospacing="1"/>
      <w:jc w:val="center"/>
    </w:pPr>
    <w:rPr>
      <w:kern w:val="0"/>
      <w:sz w:val="24"/>
    </w:rPr>
  </w:style>
  <w:style w:type="paragraph" w:customStyle="1" w:styleId="351">
    <w:name w:val="xl132"/>
    <w:basedOn w:val="1"/>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52">
    <w:name w:val="xl13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53">
    <w:name w:val="xl134"/>
    <w:basedOn w:val="1"/>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54">
    <w:name w:val="xl135"/>
    <w:basedOn w:val="1"/>
    <w:uiPriority w:val="0"/>
    <w:pPr>
      <w:widowControl/>
      <w:pBdr>
        <w:top w:val="single" w:color="auto" w:sz="8" w:space="0"/>
        <w:left w:val="single" w:color="auto" w:sz="4" w:space="0"/>
        <w:bottom w:val="single" w:color="auto" w:sz="4" w:space="0"/>
        <w:right w:val="single" w:color="auto" w:sz="4" w:space="0"/>
      </w:pBdr>
      <w:shd w:val="clear" w:color="000000" w:fill="70AD47"/>
      <w:spacing w:before="100" w:beforeAutospacing="1" w:after="100" w:afterAutospacing="1"/>
      <w:jc w:val="center"/>
    </w:pPr>
    <w:rPr>
      <w:color w:val="000000"/>
      <w:kern w:val="0"/>
      <w:sz w:val="24"/>
    </w:rPr>
  </w:style>
  <w:style w:type="paragraph" w:customStyle="1" w:styleId="355">
    <w:name w:val="xl136"/>
    <w:basedOn w:val="1"/>
    <w:uiPriority w:val="0"/>
    <w:pPr>
      <w:widowControl/>
      <w:pBdr>
        <w:top w:val="single" w:color="auto" w:sz="8" w:space="0"/>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56">
    <w:name w:val="xl137"/>
    <w:basedOn w:val="1"/>
    <w:uiPriority w:val="0"/>
    <w:pPr>
      <w:widowControl/>
      <w:pBdr>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57">
    <w:name w:val="xl138"/>
    <w:basedOn w:val="1"/>
    <w:uiPriority w:val="0"/>
    <w:pPr>
      <w:widowControl/>
      <w:pBdr>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58">
    <w:name w:val="xl139"/>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59">
    <w:name w:val="xl140"/>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color w:val="000000"/>
      <w:kern w:val="0"/>
      <w:sz w:val="24"/>
    </w:rPr>
  </w:style>
  <w:style w:type="paragraph" w:customStyle="1" w:styleId="360">
    <w:name w:val="xl141"/>
    <w:basedOn w:val="1"/>
    <w:uiPriority w:val="0"/>
    <w:pPr>
      <w:widowControl/>
      <w:pBdr>
        <w:top w:val="single" w:color="auto" w:sz="8" w:space="0"/>
        <w:left w:val="single" w:color="auto" w:sz="4" w:space="0"/>
        <w:right w:val="single" w:color="auto" w:sz="4" w:space="0"/>
      </w:pBdr>
      <w:spacing w:before="100" w:beforeAutospacing="1" w:after="100" w:afterAutospacing="1"/>
      <w:jc w:val="center"/>
    </w:pPr>
    <w:rPr>
      <w:kern w:val="0"/>
      <w:sz w:val="24"/>
    </w:rPr>
  </w:style>
  <w:style w:type="paragraph" w:customStyle="1" w:styleId="361">
    <w:name w:val="xl142"/>
    <w:basedOn w:val="1"/>
    <w:uiPriority w:val="0"/>
    <w:pPr>
      <w:widowControl/>
      <w:pBdr>
        <w:left w:val="single" w:color="auto" w:sz="4" w:space="0"/>
        <w:right w:val="single" w:color="auto" w:sz="4" w:space="0"/>
      </w:pBdr>
      <w:spacing w:before="100" w:beforeAutospacing="1" w:after="100" w:afterAutospacing="1"/>
      <w:jc w:val="center"/>
    </w:pPr>
    <w:rPr>
      <w:kern w:val="0"/>
      <w:sz w:val="24"/>
    </w:rPr>
  </w:style>
  <w:style w:type="paragraph" w:customStyle="1" w:styleId="362">
    <w:name w:val="xl143"/>
    <w:basedOn w:val="1"/>
    <w:uiPriority w:val="0"/>
    <w:pPr>
      <w:widowControl/>
      <w:pBdr>
        <w:top w:val="single" w:color="auto" w:sz="8" w:space="0"/>
        <w:left w:val="single" w:color="auto" w:sz="8" w:space="0"/>
        <w:bottom w:val="single" w:color="auto" w:sz="4" w:space="0"/>
        <w:right w:val="single" w:color="auto" w:sz="4" w:space="0"/>
      </w:pBdr>
      <w:shd w:val="clear" w:color="000000" w:fill="E2EFDA"/>
      <w:spacing w:before="100" w:beforeAutospacing="1" w:after="100" w:afterAutospacing="1"/>
      <w:jc w:val="center"/>
    </w:pPr>
    <w:rPr>
      <w:rFonts w:ascii="宋体" w:hAnsi="宋体" w:cs="宋体"/>
      <w:kern w:val="0"/>
      <w:sz w:val="24"/>
    </w:rPr>
  </w:style>
  <w:style w:type="paragraph" w:customStyle="1" w:styleId="363">
    <w:name w:val="xl144"/>
    <w:basedOn w:val="1"/>
    <w:uiPriority w:val="0"/>
    <w:pPr>
      <w:widowControl/>
      <w:pBdr>
        <w:top w:val="single" w:color="auto" w:sz="4" w:space="0"/>
        <w:left w:val="single" w:color="auto" w:sz="8" w:space="0"/>
        <w:bottom w:val="single" w:color="auto" w:sz="4" w:space="0"/>
        <w:right w:val="single" w:color="auto" w:sz="4" w:space="0"/>
      </w:pBdr>
      <w:shd w:val="clear" w:color="000000" w:fill="E2EFDA"/>
      <w:spacing w:before="100" w:beforeAutospacing="1" w:after="100" w:afterAutospacing="1"/>
      <w:jc w:val="center"/>
    </w:pPr>
    <w:rPr>
      <w:kern w:val="0"/>
      <w:sz w:val="24"/>
    </w:rPr>
  </w:style>
  <w:style w:type="paragraph" w:customStyle="1" w:styleId="364">
    <w:name w:val="xl145"/>
    <w:basedOn w:val="1"/>
    <w:uiPriority w:val="0"/>
    <w:pPr>
      <w:widowControl/>
      <w:pBdr>
        <w:top w:val="single" w:color="auto" w:sz="4" w:space="0"/>
        <w:left w:val="single" w:color="auto" w:sz="8" w:space="0"/>
        <w:right w:val="single" w:color="auto" w:sz="4" w:space="0"/>
      </w:pBdr>
      <w:shd w:val="clear" w:color="000000" w:fill="E2EFDA"/>
      <w:spacing w:before="100" w:beforeAutospacing="1" w:after="100" w:afterAutospacing="1"/>
      <w:jc w:val="center"/>
    </w:pPr>
    <w:rPr>
      <w:kern w:val="0"/>
      <w:sz w:val="24"/>
    </w:rPr>
  </w:style>
  <w:style w:type="paragraph" w:customStyle="1" w:styleId="365">
    <w:name w:val="xl146"/>
    <w:basedOn w:val="1"/>
    <w:uiPriority w:val="0"/>
    <w:pPr>
      <w:widowControl/>
      <w:pBdr>
        <w:top w:val="single" w:color="auto" w:sz="8" w:space="0"/>
        <w:left w:val="single" w:color="auto" w:sz="8" w:space="0"/>
        <w:bottom w:val="single" w:color="auto" w:sz="4" w:space="0"/>
        <w:right w:val="single" w:color="auto" w:sz="4" w:space="0"/>
      </w:pBdr>
      <w:shd w:val="clear" w:color="000000" w:fill="E2EFDA"/>
      <w:spacing w:before="100" w:beforeAutospacing="1" w:after="100" w:afterAutospacing="1"/>
      <w:jc w:val="center"/>
    </w:pPr>
    <w:rPr>
      <w:kern w:val="0"/>
      <w:sz w:val="24"/>
    </w:rPr>
  </w:style>
  <w:style w:type="paragraph" w:customStyle="1" w:styleId="366">
    <w:name w:val="xl147"/>
    <w:basedOn w:val="1"/>
    <w:uiPriority w:val="0"/>
    <w:pPr>
      <w:widowControl/>
      <w:pBdr>
        <w:top w:val="single" w:color="auto" w:sz="8" w:space="0"/>
        <w:left w:val="single" w:color="auto" w:sz="8" w:space="0"/>
        <w:bottom w:val="single" w:color="auto" w:sz="4" w:space="0"/>
        <w:right w:val="single" w:color="auto" w:sz="4" w:space="0"/>
      </w:pBdr>
      <w:shd w:val="clear" w:color="000000" w:fill="E2EFDA"/>
      <w:spacing w:before="100" w:beforeAutospacing="1" w:after="100" w:afterAutospacing="1"/>
      <w:jc w:val="center"/>
    </w:pPr>
    <w:rPr>
      <w:rFonts w:ascii="宋体" w:hAnsi="宋体" w:cs="宋体"/>
      <w:kern w:val="0"/>
      <w:sz w:val="24"/>
    </w:rPr>
  </w:style>
  <w:style w:type="paragraph" w:customStyle="1" w:styleId="367">
    <w:name w:val="xl148"/>
    <w:basedOn w:val="1"/>
    <w:uiPriority w:val="0"/>
    <w:pPr>
      <w:widowControl/>
      <w:pBdr>
        <w:top w:val="single" w:color="auto" w:sz="4" w:space="0"/>
        <w:left w:val="single" w:color="auto" w:sz="8" w:space="0"/>
        <w:bottom w:val="single" w:color="auto" w:sz="4" w:space="0"/>
        <w:right w:val="single" w:color="auto" w:sz="4" w:space="0"/>
      </w:pBdr>
      <w:shd w:val="clear" w:color="000000" w:fill="E2EFDA"/>
      <w:spacing w:before="100" w:beforeAutospacing="1" w:after="100" w:afterAutospacing="1"/>
      <w:jc w:val="center"/>
    </w:pPr>
    <w:rPr>
      <w:rFonts w:ascii="宋体" w:hAnsi="宋体" w:cs="宋体"/>
      <w:kern w:val="0"/>
      <w:sz w:val="24"/>
    </w:rPr>
  </w:style>
  <w:style w:type="paragraph" w:customStyle="1" w:styleId="368">
    <w:name w:val="xl149"/>
    <w:basedOn w:val="1"/>
    <w:uiPriority w:val="0"/>
    <w:pPr>
      <w:widowControl/>
      <w:pBdr>
        <w:top w:val="single" w:color="auto" w:sz="4" w:space="0"/>
        <w:left w:val="single" w:color="auto" w:sz="8" w:space="0"/>
        <w:bottom w:val="single" w:color="auto" w:sz="8" w:space="0"/>
        <w:right w:val="single" w:color="auto" w:sz="4" w:space="0"/>
      </w:pBdr>
      <w:shd w:val="clear" w:color="000000" w:fill="E2EFDA"/>
      <w:spacing w:before="100" w:beforeAutospacing="1" w:after="100" w:afterAutospacing="1"/>
      <w:jc w:val="center"/>
    </w:pPr>
    <w:rPr>
      <w:rFonts w:ascii="宋体" w:hAnsi="宋体" w:cs="宋体"/>
      <w:kern w:val="0"/>
      <w:sz w:val="24"/>
    </w:rPr>
  </w:style>
  <w:style w:type="paragraph" w:customStyle="1" w:styleId="369">
    <w:name w:val="xl150"/>
    <w:basedOn w:val="1"/>
    <w:uiPriority w:val="0"/>
    <w:pPr>
      <w:widowControl/>
      <w:pBdr>
        <w:left w:val="single" w:color="auto" w:sz="8" w:space="0"/>
        <w:bottom w:val="single" w:color="auto" w:sz="4" w:space="0"/>
        <w:right w:val="single" w:color="auto" w:sz="4" w:space="0"/>
      </w:pBdr>
      <w:shd w:val="clear" w:color="000000" w:fill="E2EFDA"/>
      <w:spacing w:before="100" w:beforeAutospacing="1" w:after="100" w:afterAutospacing="1"/>
      <w:jc w:val="center"/>
    </w:pPr>
    <w:rPr>
      <w:rFonts w:ascii="宋体" w:hAnsi="宋体" w:cs="宋体"/>
      <w:kern w:val="0"/>
      <w:sz w:val="24"/>
    </w:rPr>
  </w:style>
  <w:style w:type="paragraph" w:customStyle="1" w:styleId="370">
    <w:name w:val="xl151"/>
    <w:basedOn w:val="1"/>
    <w:uiPriority w:val="0"/>
    <w:pPr>
      <w:widowControl/>
      <w:pBdr>
        <w:top w:val="single" w:color="auto" w:sz="8" w:space="0"/>
        <w:left w:val="single" w:color="auto" w:sz="8" w:space="0"/>
        <w:right w:val="single" w:color="auto" w:sz="8" w:space="0"/>
      </w:pBdr>
      <w:shd w:val="clear" w:color="000000" w:fill="E2EFDA"/>
      <w:spacing w:before="100" w:beforeAutospacing="1" w:after="100" w:afterAutospacing="1"/>
      <w:jc w:val="center"/>
    </w:pPr>
    <w:rPr>
      <w:rFonts w:ascii="宋体" w:hAnsi="宋体" w:cs="宋体"/>
      <w:kern w:val="0"/>
      <w:sz w:val="24"/>
    </w:rPr>
  </w:style>
  <w:style w:type="paragraph" w:customStyle="1" w:styleId="371">
    <w:name w:val="xl152"/>
    <w:basedOn w:val="1"/>
    <w:uiPriority w:val="0"/>
    <w:pPr>
      <w:widowControl/>
      <w:pBdr>
        <w:left w:val="single" w:color="auto" w:sz="8" w:space="0"/>
        <w:right w:val="single" w:color="auto" w:sz="8" w:space="0"/>
      </w:pBdr>
      <w:shd w:val="clear" w:color="000000" w:fill="E2EFDA"/>
      <w:spacing w:before="100" w:beforeAutospacing="1" w:after="100" w:afterAutospacing="1"/>
      <w:jc w:val="center"/>
    </w:pPr>
    <w:rPr>
      <w:rFonts w:ascii="宋体" w:hAnsi="宋体" w:cs="宋体"/>
      <w:kern w:val="0"/>
      <w:sz w:val="24"/>
    </w:rPr>
  </w:style>
  <w:style w:type="paragraph" w:customStyle="1" w:styleId="372">
    <w:name w:val="xl153"/>
    <w:basedOn w:val="1"/>
    <w:uiPriority w:val="0"/>
    <w:pPr>
      <w:widowControl/>
      <w:pBdr>
        <w:left w:val="single" w:color="auto" w:sz="8" w:space="0"/>
        <w:bottom w:val="single" w:color="auto" w:sz="8" w:space="0"/>
        <w:right w:val="single" w:color="auto" w:sz="8" w:space="0"/>
      </w:pBdr>
      <w:shd w:val="clear" w:color="000000" w:fill="E2EFDA"/>
      <w:spacing w:before="100" w:beforeAutospacing="1" w:after="100" w:afterAutospacing="1"/>
      <w:jc w:val="center"/>
    </w:pPr>
    <w:rPr>
      <w:rFonts w:ascii="宋体" w:hAnsi="宋体" w:cs="宋体"/>
      <w:kern w:val="0"/>
      <w:sz w:val="24"/>
    </w:rPr>
  </w:style>
  <w:style w:type="paragraph" w:customStyle="1" w:styleId="373">
    <w:name w:val="xl154"/>
    <w:basedOn w:val="1"/>
    <w:uiPriority w:val="0"/>
    <w:pPr>
      <w:widowControl/>
      <w:pBdr>
        <w:top w:val="single" w:color="auto" w:sz="8" w:space="0"/>
        <w:left w:val="single" w:color="auto" w:sz="8" w:space="0"/>
        <w:bottom w:val="single" w:color="auto" w:sz="4" w:space="0"/>
        <w:right w:val="single" w:color="auto" w:sz="8" w:space="0"/>
      </w:pBdr>
      <w:shd w:val="clear" w:color="000000" w:fill="E2EFDA"/>
      <w:spacing w:before="100" w:beforeAutospacing="1" w:after="100" w:afterAutospacing="1"/>
      <w:jc w:val="center"/>
    </w:pPr>
    <w:rPr>
      <w:rFonts w:ascii="宋体" w:hAnsi="宋体" w:cs="宋体"/>
      <w:kern w:val="0"/>
      <w:sz w:val="24"/>
    </w:rPr>
  </w:style>
  <w:style w:type="paragraph" w:customStyle="1" w:styleId="374">
    <w:name w:val="xl155"/>
    <w:basedOn w:val="1"/>
    <w:uiPriority w:val="0"/>
    <w:pPr>
      <w:widowControl/>
      <w:pBdr>
        <w:top w:val="single" w:color="auto" w:sz="4" w:space="0"/>
        <w:left w:val="single" w:color="auto" w:sz="8" w:space="0"/>
        <w:bottom w:val="single" w:color="auto" w:sz="4" w:space="0"/>
        <w:right w:val="single" w:color="auto" w:sz="8" w:space="0"/>
      </w:pBdr>
      <w:shd w:val="clear" w:color="000000" w:fill="E2EFDA"/>
      <w:spacing w:before="100" w:beforeAutospacing="1" w:after="100" w:afterAutospacing="1"/>
      <w:jc w:val="center"/>
    </w:pPr>
    <w:rPr>
      <w:rFonts w:ascii="宋体" w:hAnsi="宋体" w:cs="宋体"/>
      <w:kern w:val="0"/>
      <w:sz w:val="24"/>
    </w:rPr>
  </w:style>
  <w:style w:type="paragraph" w:customStyle="1" w:styleId="375">
    <w:name w:val="xl156"/>
    <w:basedOn w:val="1"/>
    <w:uiPriority w:val="0"/>
    <w:pPr>
      <w:widowControl/>
      <w:pBdr>
        <w:top w:val="single" w:color="auto" w:sz="4" w:space="0"/>
        <w:left w:val="single" w:color="auto" w:sz="8" w:space="0"/>
        <w:bottom w:val="single" w:color="auto" w:sz="8" w:space="0"/>
        <w:right w:val="single" w:color="auto" w:sz="8" w:space="0"/>
      </w:pBdr>
      <w:shd w:val="clear" w:color="000000" w:fill="E2EFDA"/>
      <w:spacing w:before="100" w:beforeAutospacing="1" w:after="100" w:afterAutospacing="1"/>
      <w:jc w:val="center"/>
    </w:pPr>
    <w:rPr>
      <w:rFonts w:ascii="宋体" w:hAnsi="宋体" w:cs="宋体"/>
      <w:kern w:val="0"/>
      <w:sz w:val="24"/>
    </w:rPr>
  </w:style>
  <w:style w:type="paragraph" w:customStyle="1" w:styleId="376">
    <w:name w:val="xl157"/>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color w:val="000000"/>
      <w:kern w:val="0"/>
      <w:sz w:val="24"/>
    </w:rPr>
  </w:style>
  <w:style w:type="paragraph" w:customStyle="1" w:styleId="377">
    <w:name w:val="xl158"/>
    <w:basedOn w:val="1"/>
    <w:uiPriority w:val="0"/>
    <w:pPr>
      <w:widowControl/>
      <w:pBdr>
        <w:top w:val="single" w:color="auto" w:sz="8" w:space="0"/>
        <w:left w:val="single" w:color="auto" w:sz="8" w:space="0"/>
        <w:bottom w:val="single" w:color="auto" w:sz="4"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78">
    <w:name w:val="xl159"/>
    <w:basedOn w:val="1"/>
    <w:uiPriority w:val="0"/>
    <w:pPr>
      <w:widowControl/>
      <w:pBdr>
        <w:top w:val="single" w:color="auto" w:sz="4" w:space="0"/>
        <w:left w:val="single" w:color="auto" w:sz="8" w:space="0"/>
        <w:bottom w:val="single" w:color="auto" w:sz="4" w:space="0"/>
        <w:right w:val="single" w:color="auto" w:sz="4" w:space="0"/>
      </w:pBdr>
      <w:shd w:val="clear" w:color="000000" w:fill="70AD47"/>
      <w:spacing w:before="100" w:beforeAutospacing="1" w:after="100" w:afterAutospacing="1"/>
      <w:jc w:val="center"/>
    </w:pPr>
    <w:rPr>
      <w:kern w:val="0"/>
      <w:sz w:val="24"/>
    </w:rPr>
  </w:style>
  <w:style w:type="paragraph" w:customStyle="1" w:styleId="379">
    <w:name w:val="xl160"/>
    <w:basedOn w:val="1"/>
    <w:uiPriority w:val="0"/>
    <w:pPr>
      <w:widowControl/>
      <w:pBdr>
        <w:top w:val="single" w:color="auto" w:sz="4" w:space="0"/>
        <w:left w:val="single" w:color="auto" w:sz="8" w:space="0"/>
        <w:bottom w:val="single" w:color="auto" w:sz="8" w:space="0"/>
        <w:right w:val="single" w:color="auto" w:sz="4" w:space="0"/>
      </w:pBdr>
      <w:shd w:val="clear" w:color="000000" w:fill="70AD47"/>
      <w:spacing w:before="100" w:beforeAutospacing="1" w:after="100" w:afterAutospacing="1"/>
      <w:jc w:val="center"/>
    </w:pPr>
    <w:rPr>
      <w:kern w:val="0"/>
      <w:sz w:val="24"/>
    </w:rPr>
  </w:style>
  <w:style w:type="paragraph" w:customStyle="1" w:styleId="380">
    <w:name w:val="xl161"/>
    <w:basedOn w:val="1"/>
    <w:uiPriority w:val="0"/>
    <w:pPr>
      <w:widowControl/>
      <w:pBdr>
        <w:left w:val="single" w:color="auto" w:sz="8" w:space="0"/>
        <w:bottom w:val="single" w:color="auto" w:sz="4" w:space="0"/>
        <w:right w:val="single" w:color="auto" w:sz="4" w:space="0"/>
      </w:pBdr>
      <w:shd w:val="clear" w:color="000000" w:fill="70AD47"/>
      <w:spacing w:before="100" w:beforeAutospacing="1" w:after="100" w:afterAutospacing="1"/>
      <w:jc w:val="center"/>
    </w:pPr>
    <w:rPr>
      <w:kern w:val="0"/>
      <w:sz w:val="24"/>
    </w:rPr>
  </w:style>
  <w:style w:type="paragraph" w:customStyle="1" w:styleId="381">
    <w:name w:val="xl162"/>
    <w:basedOn w:val="1"/>
    <w:uiPriority w:val="0"/>
    <w:pPr>
      <w:widowControl/>
      <w:pBdr>
        <w:top w:val="single" w:color="auto" w:sz="4" w:space="0"/>
        <w:left w:val="single" w:color="auto" w:sz="8" w:space="0"/>
        <w:right w:val="single" w:color="auto" w:sz="4" w:space="0"/>
      </w:pBdr>
      <w:shd w:val="clear" w:color="000000" w:fill="70AD47"/>
      <w:spacing w:before="100" w:beforeAutospacing="1" w:after="100" w:afterAutospacing="1"/>
      <w:jc w:val="center"/>
    </w:pPr>
    <w:rPr>
      <w:kern w:val="0"/>
      <w:sz w:val="24"/>
    </w:rPr>
  </w:style>
  <w:style w:type="paragraph" w:customStyle="1" w:styleId="382">
    <w:name w:val="xl163"/>
    <w:basedOn w:val="1"/>
    <w:uiPriority w:val="0"/>
    <w:pPr>
      <w:widowControl/>
      <w:pBdr>
        <w:left w:val="single" w:color="auto" w:sz="4" w:space="0"/>
        <w:bottom w:val="single" w:color="auto" w:sz="8" w:space="0"/>
        <w:right w:val="single" w:color="auto" w:sz="4" w:space="0"/>
      </w:pBdr>
      <w:spacing w:before="100" w:beforeAutospacing="1" w:after="100" w:afterAutospacing="1"/>
      <w:jc w:val="center"/>
    </w:pPr>
    <w:rPr>
      <w:color w:val="000000"/>
      <w:kern w:val="0"/>
      <w:sz w:val="24"/>
    </w:rPr>
  </w:style>
  <w:style w:type="paragraph" w:customStyle="1" w:styleId="383">
    <w:name w:val="xl164"/>
    <w:basedOn w:val="1"/>
    <w:uiPriority w:val="0"/>
    <w:pPr>
      <w:widowControl/>
      <w:pBdr>
        <w:top w:val="single" w:color="auto" w:sz="8" w:space="0"/>
        <w:left w:val="single" w:color="auto" w:sz="8" w:space="0"/>
        <w:bottom w:val="single" w:color="auto" w:sz="4" w:space="0"/>
        <w:right w:val="single" w:color="auto" w:sz="4" w:space="0"/>
      </w:pBdr>
      <w:shd w:val="clear" w:color="000000" w:fill="70AD47"/>
      <w:spacing w:before="100" w:beforeAutospacing="1" w:after="100" w:afterAutospacing="1"/>
      <w:jc w:val="center"/>
    </w:pPr>
    <w:rPr>
      <w:kern w:val="0"/>
      <w:sz w:val="24"/>
    </w:rPr>
  </w:style>
  <w:style w:type="paragraph" w:customStyle="1" w:styleId="384">
    <w:name w:val="xl165"/>
    <w:basedOn w:val="1"/>
    <w:uiPriority w:val="0"/>
    <w:pPr>
      <w:widowControl/>
      <w:pBdr>
        <w:top w:val="single" w:color="auto" w:sz="8" w:space="0"/>
        <w:left w:val="single" w:color="auto" w:sz="8" w:space="0"/>
        <w:bottom w:val="single" w:color="auto" w:sz="4"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85">
    <w:name w:val="xl166"/>
    <w:basedOn w:val="1"/>
    <w:uiPriority w:val="0"/>
    <w:pPr>
      <w:widowControl/>
      <w:pBdr>
        <w:top w:val="single" w:color="auto" w:sz="8" w:space="0"/>
        <w:left w:val="single" w:color="auto" w:sz="8" w:space="0"/>
        <w:bottom w:val="single" w:color="auto" w:sz="4" w:space="0"/>
        <w:right w:val="single" w:color="auto" w:sz="8" w:space="0"/>
      </w:pBdr>
      <w:shd w:val="clear" w:color="000000" w:fill="70AD47"/>
      <w:spacing w:before="100" w:beforeAutospacing="1" w:after="100" w:afterAutospacing="1"/>
      <w:jc w:val="center"/>
    </w:pPr>
    <w:rPr>
      <w:rFonts w:ascii="宋体" w:hAnsi="宋体" w:cs="宋体"/>
      <w:kern w:val="0"/>
      <w:sz w:val="24"/>
    </w:rPr>
  </w:style>
  <w:style w:type="paragraph" w:customStyle="1" w:styleId="386">
    <w:name w:val="xl167"/>
    <w:basedOn w:val="1"/>
    <w:uiPriority w:val="0"/>
    <w:pPr>
      <w:widowControl/>
      <w:pBdr>
        <w:top w:val="single" w:color="auto" w:sz="4" w:space="0"/>
        <w:left w:val="single" w:color="auto" w:sz="8" w:space="0"/>
        <w:bottom w:val="single" w:color="auto" w:sz="4" w:space="0"/>
        <w:right w:val="single" w:color="auto" w:sz="8" w:space="0"/>
      </w:pBdr>
      <w:shd w:val="clear" w:color="000000" w:fill="70AD47"/>
      <w:spacing w:before="100" w:beforeAutospacing="1" w:after="100" w:afterAutospacing="1"/>
      <w:jc w:val="center"/>
    </w:pPr>
    <w:rPr>
      <w:kern w:val="0"/>
      <w:sz w:val="24"/>
    </w:rPr>
  </w:style>
  <w:style w:type="paragraph" w:customStyle="1" w:styleId="387">
    <w:name w:val="xl168"/>
    <w:basedOn w:val="1"/>
    <w:uiPriority w:val="0"/>
    <w:pPr>
      <w:widowControl/>
      <w:pBdr>
        <w:top w:val="single" w:color="auto" w:sz="4" w:space="0"/>
        <w:left w:val="single" w:color="auto" w:sz="8" w:space="0"/>
        <w:bottom w:val="single" w:color="auto" w:sz="8" w:space="0"/>
        <w:right w:val="single" w:color="auto" w:sz="8" w:space="0"/>
      </w:pBdr>
      <w:shd w:val="clear" w:color="000000" w:fill="70AD47"/>
      <w:spacing w:before="100" w:beforeAutospacing="1" w:after="100" w:afterAutospacing="1"/>
      <w:jc w:val="center"/>
    </w:pPr>
    <w:rPr>
      <w:kern w:val="0"/>
      <w:sz w:val="24"/>
    </w:rPr>
  </w:style>
  <w:style w:type="paragraph" w:customStyle="1" w:styleId="388">
    <w:name w:val="xl169"/>
    <w:basedOn w:val="1"/>
    <w:uiPriority w:val="0"/>
    <w:pPr>
      <w:widowControl/>
      <w:pBdr>
        <w:top w:val="single" w:color="auto" w:sz="4" w:space="0"/>
        <w:left w:val="single" w:color="auto" w:sz="8" w:space="0"/>
        <w:bottom w:val="single" w:color="auto" w:sz="4" w:space="0"/>
        <w:right w:val="single" w:color="auto" w:sz="8" w:space="0"/>
      </w:pBdr>
      <w:shd w:val="clear" w:color="000000" w:fill="70AD47"/>
      <w:spacing w:before="100" w:beforeAutospacing="1" w:after="100" w:afterAutospacing="1"/>
      <w:jc w:val="center"/>
    </w:pPr>
    <w:rPr>
      <w:rFonts w:ascii="宋体" w:hAnsi="宋体" w:cs="宋体"/>
      <w:kern w:val="0"/>
      <w:sz w:val="24"/>
    </w:rPr>
  </w:style>
  <w:style w:type="paragraph" w:customStyle="1" w:styleId="389">
    <w:name w:val="xl170"/>
    <w:basedOn w:val="1"/>
    <w:uiPriority w:val="0"/>
    <w:pPr>
      <w:widowControl/>
      <w:pBdr>
        <w:top w:val="single" w:color="auto" w:sz="4" w:space="0"/>
        <w:left w:val="single" w:color="auto" w:sz="8" w:space="0"/>
        <w:bottom w:val="single" w:color="auto" w:sz="8" w:space="0"/>
        <w:right w:val="single" w:color="auto" w:sz="8" w:space="0"/>
      </w:pBdr>
      <w:shd w:val="clear" w:color="000000" w:fill="70AD47"/>
      <w:spacing w:before="100" w:beforeAutospacing="1" w:after="100" w:afterAutospacing="1"/>
      <w:jc w:val="center"/>
    </w:pPr>
    <w:rPr>
      <w:rFonts w:ascii="宋体" w:hAnsi="宋体" w:cs="宋体"/>
      <w:kern w:val="0"/>
      <w:sz w:val="24"/>
    </w:rPr>
  </w:style>
  <w:style w:type="paragraph" w:customStyle="1" w:styleId="390">
    <w:name w:val="xl171"/>
    <w:basedOn w:val="1"/>
    <w:uiPriority w:val="0"/>
    <w:pPr>
      <w:widowControl/>
      <w:pBdr>
        <w:top w:val="single" w:color="auto" w:sz="8" w:space="0"/>
        <w:left w:val="single" w:color="auto" w:sz="8" w:space="0"/>
        <w:bottom w:val="single" w:color="auto" w:sz="4" w:space="0"/>
        <w:right w:val="single" w:color="auto" w:sz="8" w:space="0"/>
      </w:pBdr>
      <w:shd w:val="clear" w:color="000000" w:fill="70AD47"/>
      <w:spacing w:before="100" w:beforeAutospacing="1" w:after="100" w:afterAutospacing="1"/>
      <w:jc w:val="center"/>
    </w:pPr>
    <w:rPr>
      <w:rFonts w:ascii="宋体" w:hAnsi="宋体" w:cs="宋体"/>
      <w:kern w:val="0"/>
      <w:sz w:val="24"/>
    </w:rPr>
  </w:style>
  <w:style w:type="paragraph" w:customStyle="1" w:styleId="391">
    <w:name w:val="xl172"/>
    <w:basedOn w:val="1"/>
    <w:uiPriority w:val="0"/>
    <w:pPr>
      <w:widowControl/>
      <w:pBdr>
        <w:top w:val="single" w:color="auto" w:sz="4" w:space="0"/>
        <w:left w:val="single" w:color="auto" w:sz="8" w:space="0"/>
        <w:bottom w:val="single" w:color="auto" w:sz="4"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92">
    <w:name w:val="xl173"/>
    <w:basedOn w:val="1"/>
    <w:uiPriority w:val="0"/>
    <w:pPr>
      <w:widowControl/>
      <w:pBdr>
        <w:top w:val="single" w:color="auto" w:sz="4" w:space="0"/>
        <w:left w:val="single" w:color="auto" w:sz="8" w:space="0"/>
        <w:bottom w:val="single" w:color="auto" w:sz="8"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93">
    <w:name w:val="xl174"/>
    <w:basedOn w:val="1"/>
    <w:uiPriority w:val="0"/>
    <w:pPr>
      <w:widowControl/>
      <w:pBdr>
        <w:top w:val="single" w:color="auto" w:sz="8" w:space="0"/>
        <w:left w:val="single" w:color="auto" w:sz="8" w:space="0"/>
        <w:bottom w:val="single" w:color="auto" w:sz="4" w:space="0"/>
        <w:right w:val="single" w:color="auto" w:sz="4" w:space="0"/>
      </w:pBdr>
      <w:shd w:val="clear" w:color="000000" w:fill="E2EFDA"/>
      <w:spacing w:before="100" w:beforeAutospacing="1" w:after="100" w:afterAutospacing="1"/>
      <w:jc w:val="center"/>
    </w:pPr>
    <w:rPr>
      <w:kern w:val="0"/>
      <w:sz w:val="24"/>
    </w:rPr>
  </w:style>
  <w:style w:type="paragraph" w:customStyle="1" w:styleId="394">
    <w:name w:val="xl175"/>
    <w:basedOn w:val="1"/>
    <w:uiPriority w:val="0"/>
    <w:pPr>
      <w:widowControl/>
      <w:pBdr>
        <w:top w:val="single" w:color="auto" w:sz="8" w:space="0"/>
        <w:left w:val="single" w:color="auto" w:sz="8"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95">
    <w:name w:val="xl176"/>
    <w:basedOn w:val="1"/>
    <w:uiPriority w:val="0"/>
    <w:pPr>
      <w:widowControl/>
      <w:pBdr>
        <w:left w:val="single" w:color="auto" w:sz="8"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96">
    <w:name w:val="xl177"/>
    <w:basedOn w:val="1"/>
    <w:uiPriority w:val="0"/>
    <w:pPr>
      <w:widowControl/>
      <w:pBdr>
        <w:left w:val="single" w:color="auto" w:sz="8" w:space="0"/>
        <w:bottom w:val="single" w:color="auto" w:sz="8"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397">
    <w:name w:val="xl178"/>
    <w:basedOn w:val="1"/>
    <w:uiPriority w:val="0"/>
    <w:pPr>
      <w:widowControl/>
      <w:pBdr>
        <w:top w:val="single" w:color="auto" w:sz="8" w:space="0"/>
        <w:left w:val="single" w:color="auto" w:sz="8" w:space="0"/>
        <w:right w:val="single" w:color="auto" w:sz="4" w:space="0"/>
      </w:pBdr>
      <w:shd w:val="clear" w:color="000000" w:fill="E2EFDA"/>
      <w:spacing w:before="100" w:beforeAutospacing="1" w:after="100" w:afterAutospacing="1"/>
      <w:jc w:val="center"/>
    </w:pPr>
    <w:rPr>
      <w:rFonts w:ascii="宋体" w:hAnsi="宋体" w:cs="宋体"/>
      <w:kern w:val="0"/>
      <w:sz w:val="24"/>
    </w:rPr>
  </w:style>
  <w:style w:type="paragraph" w:customStyle="1" w:styleId="398">
    <w:name w:val="xl179"/>
    <w:basedOn w:val="1"/>
    <w:uiPriority w:val="0"/>
    <w:pPr>
      <w:widowControl/>
      <w:pBdr>
        <w:left w:val="single" w:color="auto" w:sz="8" w:space="0"/>
        <w:right w:val="single" w:color="auto" w:sz="4" w:space="0"/>
      </w:pBdr>
      <w:shd w:val="clear" w:color="000000" w:fill="E2EFDA"/>
      <w:spacing w:before="100" w:beforeAutospacing="1" w:after="100" w:afterAutospacing="1"/>
      <w:jc w:val="center"/>
    </w:pPr>
    <w:rPr>
      <w:rFonts w:ascii="宋体" w:hAnsi="宋体" w:cs="宋体"/>
      <w:kern w:val="0"/>
      <w:sz w:val="24"/>
    </w:rPr>
  </w:style>
  <w:style w:type="paragraph" w:customStyle="1" w:styleId="399">
    <w:name w:val="xl180"/>
    <w:basedOn w:val="1"/>
    <w:uiPriority w:val="0"/>
    <w:pPr>
      <w:widowControl/>
      <w:pBdr>
        <w:left w:val="single" w:color="auto" w:sz="8" w:space="0"/>
        <w:bottom w:val="single" w:color="auto" w:sz="8" w:space="0"/>
        <w:right w:val="single" w:color="auto" w:sz="4" w:space="0"/>
      </w:pBdr>
      <w:shd w:val="clear" w:color="000000" w:fill="E2EFDA"/>
      <w:spacing w:before="100" w:beforeAutospacing="1" w:after="100" w:afterAutospacing="1"/>
      <w:jc w:val="center"/>
    </w:pPr>
    <w:rPr>
      <w:rFonts w:ascii="宋体" w:hAnsi="宋体" w:cs="宋体"/>
      <w:kern w:val="0"/>
      <w:sz w:val="24"/>
    </w:rPr>
  </w:style>
  <w:style w:type="paragraph" w:customStyle="1" w:styleId="400">
    <w:name w:val="xl181"/>
    <w:basedOn w:val="1"/>
    <w:uiPriority w:val="0"/>
    <w:pPr>
      <w:widowControl/>
      <w:pBdr>
        <w:top w:val="single" w:color="auto" w:sz="8" w:space="0"/>
        <w:right w:val="single" w:color="auto" w:sz="8" w:space="0"/>
      </w:pBdr>
      <w:spacing w:before="100" w:beforeAutospacing="1" w:after="100" w:afterAutospacing="1"/>
      <w:jc w:val="center"/>
    </w:pPr>
    <w:rPr>
      <w:rFonts w:ascii="宋体" w:hAnsi="宋体" w:cs="宋体"/>
      <w:b/>
      <w:bCs/>
      <w:kern w:val="0"/>
      <w:sz w:val="24"/>
    </w:rPr>
  </w:style>
  <w:style w:type="paragraph" w:customStyle="1" w:styleId="401">
    <w:name w:val="xl182"/>
    <w:basedOn w:val="1"/>
    <w:uiPriority w:val="0"/>
    <w:pPr>
      <w:widowControl/>
      <w:pBdr>
        <w:top w:val="single" w:color="auto" w:sz="8" w:space="0"/>
        <w:bottom w:val="single" w:color="auto" w:sz="4" w:space="0"/>
        <w:right w:val="single" w:color="auto" w:sz="4" w:space="0"/>
      </w:pBdr>
      <w:shd w:val="clear" w:color="000000" w:fill="70AD47"/>
      <w:spacing w:before="100" w:beforeAutospacing="1" w:after="100" w:afterAutospacing="1"/>
      <w:jc w:val="center"/>
    </w:pPr>
    <w:rPr>
      <w:kern w:val="0"/>
      <w:sz w:val="24"/>
    </w:rPr>
  </w:style>
  <w:style w:type="paragraph" w:customStyle="1" w:styleId="402">
    <w:name w:val="xl183"/>
    <w:basedOn w:val="1"/>
    <w:uiPriority w:val="0"/>
    <w:pPr>
      <w:widowControl/>
      <w:pBdr>
        <w:top w:val="single" w:color="auto" w:sz="4" w:space="0"/>
        <w:bottom w:val="single" w:color="auto" w:sz="4" w:space="0"/>
        <w:right w:val="single" w:color="auto" w:sz="4" w:space="0"/>
      </w:pBdr>
      <w:shd w:val="clear" w:color="000000" w:fill="70AD47"/>
      <w:spacing w:before="100" w:beforeAutospacing="1" w:after="100" w:afterAutospacing="1"/>
      <w:jc w:val="center"/>
    </w:pPr>
    <w:rPr>
      <w:kern w:val="0"/>
      <w:sz w:val="24"/>
    </w:rPr>
  </w:style>
  <w:style w:type="paragraph" w:customStyle="1" w:styleId="403">
    <w:name w:val="xl184"/>
    <w:basedOn w:val="1"/>
    <w:uiPriority w:val="0"/>
    <w:pPr>
      <w:widowControl/>
      <w:pBdr>
        <w:top w:val="single" w:color="auto" w:sz="4" w:space="0"/>
        <w:bottom w:val="single" w:color="auto" w:sz="8" w:space="0"/>
        <w:right w:val="single" w:color="auto" w:sz="4" w:space="0"/>
      </w:pBdr>
      <w:shd w:val="clear" w:color="000000" w:fill="70AD47"/>
      <w:spacing w:before="100" w:beforeAutospacing="1" w:after="100" w:afterAutospacing="1"/>
      <w:jc w:val="center"/>
    </w:pPr>
    <w:rPr>
      <w:kern w:val="0"/>
      <w:sz w:val="24"/>
    </w:rPr>
  </w:style>
  <w:style w:type="paragraph" w:customStyle="1" w:styleId="404">
    <w:name w:val="xl185"/>
    <w:basedOn w:val="1"/>
    <w:uiPriority w:val="0"/>
    <w:pPr>
      <w:widowControl/>
      <w:pBdr>
        <w:top w:val="single" w:color="auto" w:sz="8" w:space="0"/>
        <w:bottom w:val="single" w:color="auto" w:sz="4" w:space="0"/>
        <w:right w:val="single" w:color="auto" w:sz="4" w:space="0"/>
      </w:pBdr>
      <w:shd w:val="clear" w:color="000000" w:fill="70AD47"/>
      <w:spacing w:before="100" w:beforeAutospacing="1" w:after="100" w:afterAutospacing="1"/>
      <w:jc w:val="center"/>
    </w:pPr>
    <w:rPr>
      <w:rFonts w:ascii="宋体" w:hAnsi="宋体" w:cs="宋体"/>
      <w:kern w:val="0"/>
      <w:sz w:val="24"/>
    </w:rPr>
  </w:style>
  <w:style w:type="paragraph" w:customStyle="1" w:styleId="405">
    <w:name w:val="xl186"/>
    <w:basedOn w:val="1"/>
    <w:uiPriority w:val="0"/>
    <w:pPr>
      <w:widowControl/>
      <w:pBdr>
        <w:left w:val="single" w:color="auto" w:sz="8" w:space="0"/>
        <w:right w:val="single" w:color="auto" w:sz="4" w:space="0"/>
      </w:pBdr>
      <w:shd w:val="clear" w:color="000000" w:fill="70AD47"/>
      <w:spacing w:before="100" w:beforeAutospacing="1" w:after="100" w:afterAutospacing="1"/>
      <w:jc w:val="center"/>
    </w:pPr>
    <w:rPr>
      <w:kern w:val="0"/>
      <w:sz w:val="24"/>
    </w:rPr>
  </w:style>
  <w:style w:type="paragraph" w:customStyle="1" w:styleId="406">
    <w:name w:val="xl187"/>
    <w:basedOn w:val="1"/>
    <w:uiPriority w:val="0"/>
    <w:pPr>
      <w:widowControl/>
      <w:pBdr>
        <w:top w:val="single" w:color="auto" w:sz="8" w:space="0"/>
        <w:left w:val="single" w:color="auto" w:sz="8" w:space="0"/>
        <w:bottom w:val="single" w:color="auto" w:sz="4" w:space="0"/>
        <w:right w:val="single" w:color="auto" w:sz="8" w:space="0"/>
      </w:pBdr>
      <w:spacing w:before="100" w:beforeAutospacing="1" w:after="100" w:afterAutospacing="1"/>
      <w:jc w:val="center"/>
    </w:pPr>
    <w:rPr>
      <w:b/>
      <w:bCs/>
      <w:kern w:val="0"/>
      <w:sz w:val="24"/>
    </w:rPr>
  </w:style>
  <w:style w:type="paragraph" w:customStyle="1" w:styleId="407">
    <w:name w:val="xl188"/>
    <w:basedOn w:val="1"/>
    <w:uiPriority w:val="0"/>
    <w:pPr>
      <w:widowControl/>
      <w:pBdr>
        <w:top w:val="single" w:color="auto" w:sz="4" w:space="0"/>
        <w:left w:val="single" w:color="auto" w:sz="8" w:space="0"/>
        <w:bottom w:val="single" w:color="auto" w:sz="4" w:space="0"/>
        <w:right w:val="single" w:color="auto" w:sz="8" w:space="0"/>
      </w:pBdr>
      <w:shd w:val="clear" w:color="000000" w:fill="70AD47"/>
      <w:spacing w:before="100" w:beforeAutospacing="1" w:after="100" w:afterAutospacing="1"/>
      <w:jc w:val="center"/>
    </w:pPr>
    <w:rPr>
      <w:kern w:val="0"/>
      <w:sz w:val="24"/>
    </w:rPr>
  </w:style>
  <w:style w:type="paragraph" w:customStyle="1" w:styleId="408">
    <w:name w:val="xl189"/>
    <w:basedOn w:val="1"/>
    <w:uiPriority w:val="0"/>
    <w:pPr>
      <w:widowControl/>
      <w:pBdr>
        <w:top w:val="single" w:color="auto" w:sz="4" w:space="0"/>
        <w:left w:val="single" w:color="auto" w:sz="8" w:space="0"/>
        <w:bottom w:val="single" w:color="auto" w:sz="8" w:space="0"/>
        <w:right w:val="single" w:color="auto" w:sz="8" w:space="0"/>
      </w:pBdr>
      <w:shd w:val="clear" w:color="000000" w:fill="70AD47"/>
      <w:spacing w:before="100" w:beforeAutospacing="1" w:after="100" w:afterAutospacing="1"/>
      <w:jc w:val="center"/>
    </w:pPr>
    <w:rPr>
      <w:kern w:val="0"/>
      <w:sz w:val="24"/>
    </w:rPr>
  </w:style>
  <w:style w:type="paragraph" w:customStyle="1" w:styleId="409">
    <w:name w:val="xl190"/>
    <w:basedOn w:val="1"/>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410">
    <w:name w:val="xl191"/>
    <w:basedOn w:val="1"/>
    <w:uiPriority w:val="0"/>
    <w:pPr>
      <w:widowControl/>
      <w:pBdr>
        <w:top w:val="single" w:color="auto" w:sz="8" w:space="0"/>
        <w:right w:val="single" w:color="auto" w:sz="8" w:space="0"/>
      </w:pBdr>
      <w:spacing w:before="100" w:beforeAutospacing="1" w:after="100" w:afterAutospacing="1"/>
      <w:jc w:val="center"/>
    </w:pPr>
    <w:rPr>
      <w:b/>
      <w:bCs/>
      <w:kern w:val="0"/>
      <w:sz w:val="24"/>
    </w:rPr>
  </w:style>
  <w:style w:type="character" w:customStyle="1" w:styleId="411">
    <w:name w:val="font41"/>
    <w:basedOn w:val="47"/>
    <w:uiPriority w:val="0"/>
    <w:rPr>
      <w:rFonts w:hint="eastAsia" w:ascii="宋体" w:hAnsi="宋体" w:eastAsia="宋体" w:cs="宋体"/>
      <w:b/>
      <w:bCs/>
      <w:color w:val="000000"/>
      <w:sz w:val="21"/>
      <w:szCs w:val="21"/>
      <w:u w:val="none"/>
    </w:rPr>
  </w:style>
  <w:style w:type="character" w:customStyle="1" w:styleId="412">
    <w:name w:val="正文文本首行缩进 2 字符1"/>
    <w:basedOn w:val="91"/>
    <w:link w:val="44"/>
    <w:semiHidden/>
    <w:uiPriority w:val="0"/>
    <w:rPr>
      <w:rFonts w:ascii="Times New Roman" w:hAnsi="Times New Roman" w:eastAsia="宋体" w:cs="Times New Roman"/>
      <w:kern w:val="2"/>
      <w:sz w:val="21"/>
      <w:szCs w:val="24"/>
    </w:rPr>
  </w:style>
  <w:style w:type="character" w:customStyle="1" w:styleId="413">
    <w:name w:val="正文缩进 字符1"/>
    <w:uiPriority w:val="0"/>
    <w:rPr>
      <w:kern w:val="21"/>
      <w:sz w:val="24"/>
    </w:rPr>
  </w:style>
  <w:style w:type="character" w:customStyle="1" w:styleId="414">
    <w:name w:val="列表段落 字符"/>
    <w:link w:val="212"/>
    <w:qFormat/>
    <w:uiPriority w:val="0"/>
    <w:rPr>
      <w:rFonts w:asciiTheme="minorHAnsi" w:hAnsiTheme="minorHAnsi" w:eastAsiaTheme="minorEastAsia" w:cstheme="minorBidi"/>
      <w:kern w:val="2"/>
      <w:sz w:val="21"/>
      <w:szCs w:val="22"/>
    </w:rPr>
  </w:style>
  <w:style w:type="character" w:customStyle="1" w:styleId="415">
    <w:name w:val="正文文本缩进 Char"/>
    <w:uiPriority w:val="0"/>
    <w:rPr>
      <w:kern w:val="2"/>
      <w:sz w:val="21"/>
      <w:szCs w:val="24"/>
    </w:rPr>
  </w:style>
  <w:style w:type="character" w:customStyle="1" w:styleId="416">
    <w:name w:val="ref"/>
    <w:basedOn w:val="47"/>
    <w:uiPriority w:val="0"/>
  </w:style>
  <w:style w:type="character" w:customStyle="1" w:styleId="417">
    <w:name w:val="description"/>
    <w:basedOn w:val="47"/>
    <w:uiPriority w:val="0"/>
  </w:style>
  <w:style w:type="table" w:customStyle="1" w:styleId="418">
    <w:name w:val="Grid Table Light"/>
    <w:basedOn w:val="45"/>
    <w:uiPriority w:val="40"/>
    <w:rPr>
      <w:rFonts w:ascii="等线" w:hAnsi="等线" w:eastAsia="等线"/>
      <w:kern w:val="2"/>
      <w:sz w:val="21"/>
      <w:szCs w:val="22"/>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419">
    <w:name w:val="网格型1"/>
    <w:basedOn w:val="45"/>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20">
    <w:name w:val="标题 1 Char"/>
    <w:uiPriority w:val="0"/>
    <w:rPr>
      <w:rFonts w:ascii="Times New Roman" w:hAnsi="Times New Roman" w:eastAsia="黑体"/>
      <w:bCs/>
      <w:kern w:val="44"/>
      <w:sz w:val="32"/>
      <w:szCs w:val="44"/>
      <w:lang w:val="zh-CN" w:eastAsia="zh-CN"/>
    </w:rPr>
  </w:style>
  <w:style w:type="character" w:customStyle="1" w:styleId="421">
    <w:name w:val="标题 2 Char"/>
    <w:uiPriority w:val="0"/>
    <w:rPr>
      <w:rFonts w:ascii="Arial" w:hAnsi="Arial" w:eastAsia="黑体"/>
      <w:bCs/>
      <w:color w:val="000000"/>
      <w:sz w:val="30"/>
      <w:szCs w:val="32"/>
      <w:lang w:val="zh-CN" w:eastAsia="zh-CN"/>
    </w:rPr>
  </w:style>
  <w:style w:type="character" w:customStyle="1" w:styleId="422">
    <w:name w:val="标题 3 Char"/>
    <w:qFormat/>
    <w:uiPriority w:val="0"/>
    <w:rPr>
      <w:rFonts w:ascii="Times New Roman" w:hAnsi="Times New Roman" w:eastAsia="黑体"/>
      <w:bCs/>
      <w:sz w:val="28"/>
      <w:szCs w:val="28"/>
      <w:lang w:val="zh-CN" w:eastAsia="zh-CN"/>
    </w:rPr>
  </w:style>
  <w:style w:type="character" w:customStyle="1" w:styleId="423">
    <w:name w:val="标题 4 Char"/>
    <w:uiPriority w:val="0"/>
    <w:rPr>
      <w:rFonts w:ascii="Times New Roman" w:hAnsi="Times New Roman"/>
      <w:b/>
      <w:bCs/>
      <w:sz w:val="24"/>
      <w:szCs w:val="28"/>
      <w:lang w:val="zh-CN" w:eastAsia="zh-CN"/>
    </w:rPr>
  </w:style>
  <w:style w:type="character" w:customStyle="1" w:styleId="424">
    <w:name w:val="标题 5 Char"/>
    <w:uiPriority w:val="0"/>
    <w:rPr>
      <w:rFonts w:ascii="Times New Roman" w:hAnsi="Times New Roman"/>
      <w:b/>
      <w:bCs/>
      <w:color w:val="000000"/>
      <w:sz w:val="24"/>
      <w:szCs w:val="28"/>
      <w:lang w:val="zh-CN" w:eastAsia="zh-CN"/>
    </w:rPr>
  </w:style>
  <w:style w:type="character" w:customStyle="1" w:styleId="425">
    <w:name w:val="标题 6 Char"/>
    <w:uiPriority w:val="0"/>
    <w:rPr>
      <w:rFonts w:ascii="Arial" w:hAnsi="Arial" w:eastAsia="黑体"/>
      <w:b/>
      <w:bCs/>
      <w:sz w:val="24"/>
      <w:szCs w:val="24"/>
      <w:lang w:val="zh-CN" w:eastAsia="zh-CN"/>
    </w:rPr>
  </w:style>
  <w:style w:type="character" w:customStyle="1" w:styleId="426">
    <w:name w:val="标题 7 Char"/>
    <w:uiPriority w:val="0"/>
    <w:rPr>
      <w:rFonts w:ascii="Times New Roman" w:hAnsi="Times New Roman" w:eastAsia="宋体" w:cs="Times New Roman"/>
      <w:b/>
      <w:bCs/>
      <w:sz w:val="24"/>
      <w:szCs w:val="24"/>
      <w:lang w:val="zh-CN" w:eastAsia="zh-CN"/>
    </w:rPr>
  </w:style>
  <w:style w:type="character" w:customStyle="1" w:styleId="427">
    <w:name w:val="标题 8 Char"/>
    <w:uiPriority w:val="0"/>
    <w:rPr>
      <w:rFonts w:ascii="Cambria" w:hAnsi="Cambria" w:eastAsia="宋体" w:cs="Times New Roman"/>
      <w:sz w:val="24"/>
      <w:szCs w:val="24"/>
      <w:lang w:val="zh-CN" w:eastAsia="zh-CN"/>
    </w:rPr>
  </w:style>
  <w:style w:type="character" w:customStyle="1" w:styleId="428">
    <w:name w:val="标题 9 Char"/>
    <w:uiPriority w:val="0"/>
    <w:rPr>
      <w:rFonts w:ascii="Cambria" w:hAnsi="Cambria" w:eastAsia="宋体" w:cs="Times New Roman"/>
      <w:szCs w:val="21"/>
      <w:lang w:val="zh-CN" w:eastAsia="zh-CN"/>
    </w:rPr>
  </w:style>
  <w:style w:type="character" w:customStyle="1" w:styleId="429">
    <w:name w:val="页眉 Char"/>
    <w:uiPriority w:val="99"/>
    <w:rPr>
      <w:sz w:val="18"/>
      <w:szCs w:val="18"/>
    </w:rPr>
  </w:style>
  <w:style w:type="character" w:customStyle="1" w:styleId="430">
    <w:name w:val="页脚 Char"/>
    <w:uiPriority w:val="99"/>
    <w:rPr>
      <w:sz w:val="18"/>
      <w:szCs w:val="18"/>
    </w:rPr>
  </w:style>
  <w:style w:type="character" w:customStyle="1" w:styleId="431">
    <w:name w:val="批注文字 Char"/>
    <w:qFormat/>
    <w:uiPriority w:val="0"/>
    <w:rPr>
      <w:rFonts w:eastAsia="仿宋_GB2312"/>
      <w:sz w:val="24"/>
      <w:szCs w:val="24"/>
    </w:rPr>
  </w:style>
  <w:style w:type="character" w:customStyle="1" w:styleId="432">
    <w:name w:val="正文缩进 Char"/>
    <w:uiPriority w:val="0"/>
    <w:rPr>
      <w:kern w:val="21"/>
      <w:sz w:val="24"/>
    </w:rPr>
  </w:style>
  <w:style w:type="character" w:customStyle="1" w:styleId="433">
    <w:name w:val="正文文本缩进 2 Char"/>
    <w:uiPriority w:val="0"/>
  </w:style>
  <w:style w:type="character" w:customStyle="1" w:styleId="434">
    <w:name w:val="批注主题 Char"/>
    <w:uiPriority w:val="0"/>
    <w:rPr>
      <w:rFonts w:eastAsia="仿宋_GB2312"/>
      <w:b/>
      <w:bCs/>
      <w:sz w:val="24"/>
      <w:szCs w:val="24"/>
    </w:rPr>
  </w:style>
  <w:style w:type="character" w:customStyle="1" w:styleId="435">
    <w:name w:val="日期 Char"/>
    <w:uiPriority w:val="99"/>
    <w:rPr>
      <w:szCs w:val="24"/>
    </w:rPr>
  </w:style>
  <w:style w:type="character" w:customStyle="1" w:styleId="436">
    <w:name w:val="批注框文本 Char"/>
    <w:uiPriority w:val="0"/>
    <w:rPr>
      <w:rFonts w:eastAsia="仿宋_GB2312"/>
      <w:sz w:val="18"/>
      <w:szCs w:val="18"/>
    </w:rPr>
  </w:style>
  <w:style w:type="character" w:customStyle="1" w:styleId="437">
    <w:name w:val="正文文本缩进 Char1"/>
    <w:semiHidden/>
    <w:uiPriority w:val="99"/>
    <w:rPr>
      <w:rFonts w:ascii="Times New Roman" w:hAnsi="Times New Roman" w:eastAsia="宋体" w:cs="Times New Roman"/>
      <w:szCs w:val="24"/>
    </w:rPr>
  </w:style>
  <w:style w:type="character" w:customStyle="1" w:styleId="438">
    <w:name w:val="引用 Char"/>
    <w:uiPriority w:val="0"/>
    <w:rPr>
      <w:i/>
      <w:iCs/>
      <w:color w:val="000000"/>
      <w:szCs w:val="24"/>
    </w:rPr>
  </w:style>
  <w:style w:type="character" w:customStyle="1" w:styleId="439">
    <w:name w:val="无间隔 Char"/>
    <w:uiPriority w:val="1"/>
    <w:rPr>
      <w:rFonts w:ascii="黑体"/>
      <w:szCs w:val="24"/>
      <w:lang w:bidi="ar-SA"/>
    </w:rPr>
  </w:style>
  <w:style w:type="character" w:customStyle="1" w:styleId="440">
    <w:name w:val="文档结构图 Char"/>
    <w:uiPriority w:val="0"/>
    <w:rPr>
      <w:rFonts w:ascii="宋体"/>
      <w:sz w:val="18"/>
      <w:szCs w:val="18"/>
    </w:rPr>
  </w:style>
  <w:style w:type="character" w:customStyle="1" w:styleId="441">
    <w:name w:val="正文文本 2 Char"/>
    <w:uiPriority w:val="0"/>
    <w:rPr>
      <w:szCs w:val="24"/>
    </w:rPr>
  </w:style>
  <w:style w:type="character" w:customStyle="1" w:styleId="442">
    <w:name w:val="标题 Char"/>
    <w:uiPriority w:val="0"/>
    <w:rPr>
      <w:rFonts w:ascii="Cambria" w:hAnsi="Cambria"/>
      <w:b/>
      <w:bCs/>
      <w:sz w:val="32"/>
      <w:szCs w:val="32"/>
    </w:rPr>
  </w:style>
  <w:style w:type="character" w:customStyle="1" w:styleId="443">
    <w:name w:val="纯文本 Char"/>
    <w:uiPriority w:val="0"/>
    <w:rPr>
      <w:rFonts w:ascii="宋体" w:hAnsi="Courier New" w:cs="Courier New"/>
      <w:szCs w:val="21"/>
    </w:rPr>
  </w:style>
  <w:style w:type="character" w:customStyle="1" w:styleId="444">
    <w:name w:val="明显引用 Char"/>
    <w:uiPriority w:val="0"/>
    <w:rPr>
      <w:b/>
      <w:bCs/>
      <w:i/>
      <w:iCs/>
      <w:color w:val="4F81BD"/>
      <w:szCs w:val="24"/>
    </w:rPr>
  </w:style>
  <w:style w:type="character" w:customStyle="1" w:styleId="445">
    <w:name w:val="副标题 Char"/>
    <w:uiPriority w:val="0"/>
    <w:rPr>
      <w:rFonts w:ascii="Cambria" w:hAnsi="Cambria"/>
      <w:b/>
      <w:bCs/>
      <w:kern w:val="28"/>
      <w:sz w:val="32"/>
      <w:szCs w:val="32"/>
    </w:rPr>
  </w:style>
  <w:style w:type="paragraph" w:customStyle="1" w:styleId="446">
    <w:name w:val="列表段落2"/>
    <w:basedOn w:val="1"/>
    <w:qFormat/>
    <w:uiPriority w:val="0"/>
    <w:pPr>
      <w:ind w:firstLine="420" w:firstLineChars="200"/>
    </w:pPr>
    <w:rPr>
      <w:rFonts w:ascii="Calibri" w:hAnsi="Calibri"/>
      <w:szCs w:val="22"/>
    </w:rPr>
  </w:style>
  <w:style w:type="character" w:customStyle="1" w:styleId="447">
    <w:name w:val="正文文本 Char"/>
    <w:uiPriority w:val="99"/>
    <w:rPr>
      <w:rFonts w:ascii="Times New Roman" w:hAnsi="Times New Roman"/>
      <w:kern w:val="2"/>
      <w:sz w:val="21"/>
      <w:szCs w:val="24"/>
    </w:rPr>
  </w:style>
  <w:style w:type="character" w:customStyle="1" w:styleId="448">
    <w:name w:val="尾注文本 Char"/>
    <w:uiPriority w:val="0"/>
    <w:rPr>
      <w:rFonts w:ascii="Times New Roman" w:hAnsi="Times New Roman"/>
      <w:kern w:val="21"/>
      <w:sz w:val="24"/>
    </w:rPr>
  </w:style>
  <w:style w:type="character" w:customStyle="1" w:styleId="449">
    <w:name w:val="正文文本缩进 3 Char"/>
    <w:uiPriority w:val="0"/>
    <w:rPr>
      <w:rFonts w:ascii="Times New Roman" w:hAnsi="Times New Roman"/>
      <w:kern w:val="2"/>
      <w:sz w:val="16"/>
      <w:szCs w:val="16"/>
    </w:rPr>
  </w:style>
  <w:style w:type="paragraph" w:customStyle="1" w:styleId="450">
    <w:name w:val="纯文本4"/>
    <w:basedOn w:val="1"/>
    <w:uiPriority w:val="0"/>
    <w:pPr>
      <w:adjustRightInd w:val="0"/>
      <w:jc w:val="left"/>
      <w:textAlignment w:val="baseline"/>
    </w:pPr>
    <w:rPr>
      <w:rFonts w:ascii="QPFAEB+Helvetica-Bold" w:hAnsi="TT A 267o 00"/>
      <w:kern w:val="3"/>
      <w:sz w:val="24"/>
      <w:szCs w:val="20"/>
    </w:rPr>
  </w:style>
  <w:style w:type="paragraph" w:customStyle="1" w:styleId="451">
    <w:name w:val="普通(网站)2"/>
    <w:basedOn w:val="1"/>
    <w:uiPriority w:val="0"/>
    <w:pPr>
      <w:widowControl/>
      <w:spacing w:before="100" w:beforeAutospacing="1" w:after="100" w:afterAutospacing="1"/>
      <w:jc w:val="left"/>
    </w:pPr>
    <w:rPr>
      <w:rFonts w:hint="eastAsia" w:ascii="宋体" w:hAnsi="宋体"/>
      <w:sz w:val="24"/>
      <w:szCs w:val="20"/>
    </w:rPr>
  </w:style>
  <w:style w:type="paragraph" w:customStyle="1" w:styleId="452">
    <w:name w:val="列表段落3"/>
    <w:basedOn w:val="1"/>
    <w:qFormat/>
    <w:uiPriority w:val="0"/>
    <w:pPr>
      <w:ind w:firstLine="420" w:firstLineChars="200"/>
    </w:pPr>
    <w:rPr>
      <w:rFonts w:ascii="Calibri" w:hAnsi="Calibri"/>
      <w:szCs w:val="22"/>
    </w:rPr>
  </w:style>
  <w:style w:type="paragraph" w:customStyle="1" w:styleId="453">
    <w:name w:val="纯文本5"/>
    <w:basedOn w:val="1"/>
    <w:uiPriority w:val="0"/>
    <w:pPr>
      <w:adjustRightInd w:val="0"/>
      <w:jc w:val="left"/>
      <w:textAlignment w:val="baseline"/>
    </w:pPr>
    <w:rPr>
      <w:rFonts w:ascii="QPFAEB+Helvetica-Bold" w:hAnsi="TT A 267o 00"/>
      <w:kern w:val="3"/>
      <w:sz w:val="24"/>
      <w:szCs w:val="20"/>
    </w:rPr>
  </w:style>
  <w:style w:type="paragraph" w:customStyle="1" w:styleId="454">
    <w:name w:val="普通(网站)3"/>
    <w:basedOn w:val="1"/>
    <w:uiPriority w:val="0"/>
    <w:pPr>
      <w:widowControl/>
      <w:spacing w:before="100" w:beforeAutospacing="1" w:after="100" w:afterAutospacing="1"/>
      <w:jc w:val="left"/>
    </w:pPr>
    <w:rPr>
      <w:rFonts w:hint="eastAsia" w:ascii="宋体" w:hAnsi="宋体"/>
      <w:sz w:val="24"/>
      <w:szCs w:val="20"/>
    </w:rPr>
  </w:style>
  <w:style w:type="paragraph" w:customStyle="1" w:styleId="455">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456">
    <w:name w:val="正文首行缩进 21"/>
    <w:basedOn w:val="19"/>
    <w:qFormat/>
    <w:uiPriority w:val="0"/>
    <w:pPr>
      <w:ind w:firstLine="420" w:firstLineChars="200"/>
    </w:pPr>
    <w:rPr>
      <w:rFonts w:ascii="Calibri" w:hAnsi="Calibri"/>
      <w:kern w:val="0"/>
      <w:sz w:val="24"/>
      <w:szCs w:val="21"/>
      <w:lang w:val="zh-CN"/>
    </w:rPr>
  </w:style>
  <w:style w:type="paragraph" w:customStyle="1" w:styleId="457">
    <w:name w:val="引用1"/>
    <w:basedOn w:val="1"/>
    <w:next w:val="1"/>
    <w:qFormat/>
    <w:uiPriority w:val="0"/>
    <w:rPr>
      <w:rFonts w:ascii="Calibri" w:hAnsi="Calibri"/>
      <w:i/>
      <w:iCs/>
      <w:color w:val="000000"/>
    </w:rPr>
  </w:style>
  <w:style w:type="paragraph" w:customStyle="1" w:styleId="458">
    <w:name w:val="无间隔1"/>
    <w:qFormat/>
    <w:uiPriority w:val="1"/>
    <w:pPr>
      <w:widowControl w:val="0"/>
      <w:jc w:val="both"/>
    </w:pPr>
    <w:rPr>
      <w:rFonts w:ascii="黑体" w:hAnsi="Calibri" w:eastAsia="宋体" w:cs="Times New Roman"/>
      <w:szCs w:val="24"/>
      <w:lang w:val="en-US" w:eastAsia="zh-CN" w:bidi="ar-SA"/>
    </w:rPr>
  </w:style>
  <w:style w:type="paragraph" w:customStyle="1" w:styleId="459">
    <w:name w:val="明显引用1"/>
    <w:basedOn w:val="1"/>
    <w:next w:val="1"/>
    <w:qFormat/>
    <w:uiPriority w:val="0"/>
    <w:pPr>
      <w:pBdr>
        <w:bottom w:val="single" w:color="4F81BD" w:sz="4" w:space="4"/>
      </w:pBdr>
      <w:spacing w:before="200" w:after="280"/>
      <w:ind w:left="936" w:right="936"/>
    </w:pPr>
    <w:rPr>
      <w:rFonts w:ascii="Calibri" w:hAnsi="Calibri"/>
      <w:b/>
      <w:bCs/>
      <w:i/>
      <w:iCs/>
      <w:color w:val="4F81BD"/>
    </w:rPr>
  </w:style>
  <w:style w:type="paragraph" w:customStyle="1" w:styleId="460">
    <w:name w:val="列出段落2"/>
    <w:basedOn w:val="1"/>
    <w:qFormat/>
    <w:uiPriority w:val="34"/>
    <w:pPr>
      <w:widowControl/>
      <w:spacing w:after="200" w:line="276" w:lineRule="auto"/>
      <w:ind w:left="150" w:firstLine="420" w:firstLineChars="200"/>
      <w:jc w:val="left"/>
    </w:pPr>
    <w:rPr>
      <w:rFonts w:ascii="Calibri" w:hAnsi="Calibri"/>
      <w:kern w:val="0"/>
      <w:sz w:val="28"/>
      <w:szCs w:val="21"/>
      <w:lang w:eastAsia="en-US" w:bidi="en-US"/>
    </w:rPr>
  </w:style>
  <w:style w:type="character" w:customStyle="1" w:styleId="461">
    <w:name w:val="引用 字符1"/>
    <w:uiPriority w:val="0"/>
    <w:rPr>
      <w:i/>
      <w:iCs/>
      <w:color w:val="000000"/>
      <w:szCs w:val="24"/>
    </w:rPr>
  </w:style>
  <w:style w:type="character" w:customStyle="1" w:styleId="462">
    <w:name w:val="引用 Char2"/>
    <w:uiPriority w:val="29"/>
    <w:rPr>
      <w:rFonts w:ascii="Times New Roman" w:hAnsi="Times New Roman"/>
      <w:i/>
      <w:iCs/>
      <w:color w:val="404040"/>
      <w:kern w:val="2"/>
      <w:sz w:val="21"/>
      <w:szCs w:val="24"/>
    </w:rPr>
  </w:style>
  <w:style w:type="character" w:customStyle="1" w:styleId="463">
    <w:name w:val="无间隔 字符1"/>
    <w:uiPriority w:val="1"/>
    <w:rPr>
      <w:rFonts w:ascii="黑体"/>
      <w:szCs w:val="24"/>
    </w:rPr>
  </w:style>
  <w:style w:type="character" w:customStyle="1" w:styleId="464">
    <w:name w:val="明显引用 字符1"/>
    <w:uiPriority w:val="0"/>
    <w:rPr>
      <w:b/>
      <w:bCs/>
      <w:i/>
      <w:iCs/>
      <w:color w:val="4F81BD"/>
      <w:szCs w:val="24"/>
    </w:rPr>
  </w:style>
  <w:style w:type="character" w:customStyle="1" w:styleId="465">
    <w:name w:val="明显引用 Char2"/>
    <w:uiPriority w:val="30"/>
    <w:rPr>
      <w:rFonts w:ascii="Times New Roman" w:hAnsi="Times New Roman"/>
      <w:i/>
      <w:iCs/>
      <w:color w:val="5B9BD5"/>
      <w:kern w:val="2"/>
      <w:sz w:val="21"/>
      <w:szCs w:val="24"/>
    </w:rPr>
  </w:style>
  <w:style w:type="character" w:customStyle="1" w:styleId="466">
    <w:name w:val="font01"/>
    <w:uiPriority w:val="0"/>
    <w:rPr>
      <w:rFonts w:hint="default" w:ascii="Times New Roman" w:hAnsi="Times New Roman" w:cs="Times New Roman"/>
      <w:color w:val="000000"/>
      <w:sz w:val="20"/>
      <w:szCs w:val="20"/>
      <w:u w:val="none"/>
    </w:rPr>
  </w:style>
  <w:style w:type="character" w:customStyle="1" w:styleId="467">
    <w:name w:val="font31"/>
    <w:uiPriority w:val="0"/>
    <w:rPr>
      <w:rFonts w:hint="eastAsia" w:ascii="黑体" w:hAnsi="宋体" w:eastAsia="黑体" w:cs="黑体"/>
      <w:b/>
      <w:color w:val="000000"/>
      <w:sz w:val="24"/>
      <w:szCs w:val="24"/>
      <w:u w:val="none"/>
    </w:rPr>
  </w:style>
  <w:style w:type="table" w:customStyle="1" w:styleId="468">
    <w:name w:val="网格型2"/>
    <w:basedOn w:val="45"/>
    <w:qFormat/>
    <w:uiPriority w:val="39"/>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28.jpeg"/><Relationship Id="rId54" Type="http://schemas.openxmlformats.org/officeDocument/2006/relationships/image" Target="media/image27.jpe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3.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header" Target="header2.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header" Target="header1.xml"/><Relationship Id="rId29" Type="http://schemas.openxmlformats.org/officeDocument/2006/relationships/image" Target="media/image2.png"/><Relationship Id="rId28" Type="http://schemas.openxmlformats.org/officeDocument/2006/relationships/image" Target="media/image1.png"/><Relationship Id="rId27" Type="http://schemas.openxmlformats.org/officeDocument/2006/relationships/theme" Target="theme/theme1.xml"/><Relationship Id="rId26" Type="http://schemas.openxmlformats.org/officeDocument/2006/relationships/footer" Target="footer14.xml"/><Relationship Id="rId25" Type="http://schemas.openxmlformats.org/officeDocument/2006/relationships/footer" Target="footer13.xml"/><Relationship Id="rId24" Type="http://schemas.openxmlformats.org/officeDocument/2006/relationships/header" Target="header10.xml"/><Relationship Id="rId23" Type="http://schemas.openxmlformats.org/officeDocument/2006/relationships/header" Target="header9.xml"/><Relationship Id="rId22" Type="http://schemas.openxmlformats.org/officeDocument/2006/relationships/footer" Target="footer12.xml"/><Relationship Id="rId21" Type="http://schemas.openxmlformats.org/officeDocument/2006/relationships/footer" Target="footer1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header" Target="header7.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A49EFF2-3634-45B0-8114-C447337EBF6B}">
  <ds:schemaRefs/>
</ds:datastoreItem>
</file>

<file path=docProps/app.xml><?xml version="1.0" encoding="utf-8"?>
<Properties xmlns="http://schemas.openxmlformats.org/officeDocument/2006/extended-properties" xmlns:vt="http://schemas.openxmlformats.org/officeDocument/2006/docPropsVTypes">
  <Template>Normal</Template>
  <Pages>79</Pages>
  <Words>847</Words>
  <Characters>1097</Characters>
  <Lines>136</Lines>
  <Paragraphs>94</Paragraphs>
  <TotalTime>149</TotalTime>
  <ScaleCrop>false</ScaleCrop>
  <LinksUpToDate>false</LinksUpToDate>
  <CharactersWithSpaces>1221</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2025-09-16T05:45:00Z</dcterms:created>
  <dc:creator>aaexiao</dc:creator>
  <cp:lastModifiedBy>滞洪居士</cp:lastModifiedBy>
  <cp:lastPrinted>2025-02-25T01:51:00Z</cp:lastPrinted>
  <dcterms:modified xsi:type="dcterms:W3CDTF">2025-09-19T06:18:40Z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eyJoZGlkIjoiOGMzODE4NDU4YzFlYzQ1M2U0MWNmYmYwMTQxNTE2MDkiLCJ1c2VySWQiOiIzMTk0Nzc5OTEifQ==</vt:lpwstr>
  </property>
  <property fmtid="{D5CDD505-2E9C-101B-9397-08002B2CF9AE}" pid="3" name="KSOProductBuildVer">
    <vt:lpwstr>2052-12.1.0.22529</vt:lpwstr>
  </property>
  <property fmtid="{D5CDD505-2E9C-101B-9397-08002B2CF9AE}" pid="4" name="ICV">
    <vt:lpwstr>CAE0C98DBD094918ACE77650C6E10083_13</vt:lpwstr>
  </property>
</Properties>
</file>