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2488"/>
        <w:gridCol w:w="7467"/>
        <w:gridCol w:w="1555"/>
        <w:gridCol w:w="1555"/>
        <w:gridCol w:w="1767"/>
      </w:tblGrid>
      <w:tr w14:paraId="4D0FF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400592C3">
            <w:pPr>
              <w:widowControl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  <w:r>
              <w:rPr>
                <w:rFonts w:hint="eastAsia" w:ascii="Times New Roman" w:hAnsi="Times New Roman" w:eastAsia="华文中宋" w:cs="Times New Roman"/>
                <w:b/>
                <w:bCs/>
                <w:sz w:val="32"/>
                <w:szCs w:val="32"/>
                <w:lang w:val="en-US" w:eastAsia="zh-CN"/>
              </w:rPr>
              <w:t>萝岗院区核医学动物PET-CT实验项目设计服务项目</w:t>
            </w:r>
            <w:r>
              <w:rPr>
                <w:rFonts w:hint="eastAsia" w:eastAsia="华文中宋"/>
                <w:b/>
                <w:bCs/>
                <w:sz w:val="32"/>
                <w:szCs w:val="32"/>
                <w:lang w:val="en-US" w:eastAsia="zh-CN"/>
              </w:rPr>
              <w:t>综合评分表</w:t>
            </w:r>
          </w:p>
        </w:tc>
      </w:tr>
      <w:tr w14:paraId="2BB11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49" w:type="pct"/>
            <w:noWrap w:val="0"/>
            <w:vAlign w:val="center"/>
          </w:tcPr>
          <w:p w14:paraId="0CE5FB5F">
            <w:pPr>
              <w:widowControl/>
              <w:tabs>
                <w:tab w:val="right" w:leader="dot" w:pos="9060"/>
              </w:tabs>
              <w:autoSpaceDE w:val="0"/>
              <w:autoSpaceDN w:val="0"/>
              <w:adjustRightInd w:val="0"/>
              <w:ind w:right="-105" w:rightChars="-50"/>
              <w:jc w:val="center"/>
              <w:rPr>
                <w:rFonts w:hint="eastAsia" w:ascii="宋体" w:hAnsi="宋体" w:cs="宋体"/>
                <w:color w:val="0D0D0D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D0D0D"/>
                <w:kern w:val="0"/>
                <w:szCs w:val="21"/>
              </w:rPr>
              <w:t>序号</w:t>
            </w:r>
          </w:p>
        </w:tc>
        <w:tc>
          <w:tcPr>
            <w:tcW w:w="797" w:type="pct"/>
            <w:noWrap w:val="0"/>
            <w:vAlign w:val="center"/>
          </w:tcPr>
          <w:p w14:paraId="57E1FFEC">
            <w:pPr>
              <w:widowControl/>
              <w:suppressLineNumbers/>
              <w:suppressAutoHyphens/>
              <w:kinsoku w:val="0"/>
              <w:snapToGrid w:val="0"/>
              <w:jc w:val="center"/>
              <w:textAlignment w:val="center"/>
              <w:rPr>
                <w:rFonts w:hint="eastAsia" w:ascii="宋体"/>
                <w:color w:val="0D0D0D"/>
                <w:kern w:val="0"/>
                <w:szCs w:val="21"/>
              </w:rPr>
            </w:pPr>
            <w:r>
              <w:rPr>
                <w:rFonts w:hint="eastAsia" w:ascii="宋体"/>
                <w:color w:val="0D0D0D"/>
                <w:kern w:val="0"/>
                <w:szCs w:val="21"/>
              </w:rPr>
              <w:t>评分内容</w:t>
            </w:r>
          </w:p>
        </w:tc>
        <w:tc>
          <w:tcPr>
            <w:tcW w:w="2392" w:type="pct"/>
            <w:noWrap w:val="0"/>
            <w:vAlign w:val="center"/>
          </w:tcPr>
          <w:p w14:paraId="493AB507">
            <w:pPr>
              <w:widowControl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评分标准</w:t>
            </w:r>
          </w:p>
        </w:tc>
        <w:tc>
          <w:tcPr>
            <w:tcW w:w="498" w:type="pct"/>
            <w:noWrap w:val="0"/>
            <w:vAlign w:val="center"/>
          </w:tcPr>
          <w:p w14:paraId="6A876E33">
            <w:pPr>
              <w:widowControl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供应商1</w:t>
            </w:r>
          </w:p>
        </w:tc>
        <w:tc>
          <w:tcPr>
            <w:tcW w:w="498" w:type="pct"/>
            <w:noWrap w:val="0"/>
            <w:vAlign w:val="center"/>
          </w:tcPr>
          <w:p w14:paraId="52A09F78">
            <w:pPr>
              <w:widowControl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供应商2</w:t>
            </w:r>
          </w:p>
        </w:tc>
        <w:tc>
          <w:tcPr>
            <w:tcW w:w="564" w:type="pct"/>
            <w:noWrap w:val="0"/>
            <w:vAlign w:val="center"/>
          </w:tcPr>
          <w:p w14:paraId="66B9E469">
            <w:pPr>
              <w:widowControl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供应商</w:t>
            </w:r>
            <w:r>
              <w:rPr>
                <w:rFonts w:ascii="宋体" w:hAnsi="宋体"/>
                <w:color w:val="0D0D0D"/>
                <w:kern w:val="0"/>
                <w:szCs w:val="21"/>
              </w:rPr>
              <w:t>…</w:t>
            </w:r>
          </w:p>
        </w:tc>
      </w:tr>
      <w:tr w14:paraId="68582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  <w:jc w:val="center"/>
        </w:trPr>
        <w:tc>
          <w:tcPr>
            <w:tcW w:w="249" w:type="pct"/>
            <w:noWrap w:val="0"/>
            <w:vAlign w:val="center"/>
          </w:tcPr>
          <w:p w14:paraId="43FB93B2">
            <w:pPr>
              <w:widowControl/>
              <w:tabs>
                <w:tab w:val="right" w:leader="dot" w:pos="9060"/>
              </w:tabs>
              <w:autoSpaceDE w:val="0"/>
              <w:autoSpaceDN w:val="0"/>
              <w:adjustRightInd w:val="0"/>
              <w:ind w:right="-105" w:rightChars="-50"/>
              <w:jc w:val="center"/>
              <w:rPr>
                <w:rFonts w:hint="eastAsia" w:ascii="宋体" w:hAnsi="宋体" w:cs="宋体"/>
                <w:color w:val="0D0D0D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D0D0D"/>
                <w:kern w:val="0"/>
                <w:szCs w:val="21"/>
              </w:rPr>
              <w:t>1</w:t>
            </w:r>
          </w:p>
          <w:p w14:paraId="5ACC9F93">
            <w:pPr>
              <w:widowControl/>
              <w:tabs>
                <w:tab w:val="right" w:leader="dot" w:pos="906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hint="eastAsia" w:ascii="宋体" w:hAnsi="宋体" w:cs="宋体"/>
                <w:color w:val="0D0D0D"/>
                <w:kern w:val="0"/>
                <w:szCs w:val="21"/>
              </w:rPr>
            </w:pPr>
          </w:p>
        </w:tc>
        <w:tc>
          <w:tcPr>
            <w:tcW w:w="797" w:type="pct"/>
            <w:noWrap w:val="0"/>
            <w:vAlign w:val="center"/>
          </w:tcPr>
          <w:p w14:paraId="6C318F75">
            <w:pPr>
              <w:widowControl/>
              <w:suppressLineNumbers/>
              <w:suppressAutoHyphens/>
              <w:kinsoku w:val="0"/>
              <w:snapToGrid w:val="0"/>
              <w:jc w:val="center"/>
              <w:textAlignment w:val="center"/>
              <w:rPr>
                <w:rFonts w:hint="eastAsia" w:ascii="宋体" w:hAnsi="宋体"/>
                <w:snapToGrid w:val="0"/>
                <w:color w:val="0D0D0D"/>
                <w:kern w:val="0"/>
                <w:szCs w:val="21"/>
              </w:rPr>
            </w:pPr>
            <w:r>
              <w:rPr>
                <w:rFonts w:hint="eastAsia" w:ascii="宋体"/>
                <w:color w:val="0D0D0D"/>
                <w:kern w:val="0"/>
                <w:szCs w:val="21"/>
              </w:rPr>
              <w:t>设计实施方案的合理性</w:t>
            </w:r>
            <w:r>
              <w:rPr>
                <w:rFonts w:hint="eastAsia" w:ascii="宋体"/>
                <w:color w:val="0D0D0D"/>
                <w:kern w:val="0"/>
                <w:szCs w:val="21"/>
                <w:lang w:val="en-US" w:eastAsia="zh-CN"/>
              </w:rPr>
              <w:t>及对本项目认识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（</w:t>
            </w:r>
            <w:r>
              <w:rPr>
                <w:rFonts w:ascii="宋体" w:hAnsi="宋体"/>
                <w:color w:val="0D0D0D"/>
                <w:kern w:val="0"/>
                <w:szCs w:val="21"/>
              </w:rPr>
              <w:t>20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分）</w:t>
            </w:r>
          </w:p>
        </w:tc>
        <w:tc>
          <w:tcPr>
            <w:tcW w:w="2392" w:type="pct"/>
            <w:noWrap w:val="0"/>
            <w:vAlign w:val="center"/>
          </w:tcPr>
          <w:p w14:paraId="407E0BEE">
            <w:pPr>
              <w:pStyle w:val="3"/>
              <w:spacing w:line="240" w:lineRule="auto"/>
              <w:ind w:left="0" w:firstLine="0" w:firstLineChars="0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a</w:t>
            </w:r>
            <w:r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 xml:space="preserve">) 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设计周期保证措施：详细的工作计划安排；</w:t>
            </w:r>
          </w:p>
          <w:p w14:paraId="1897CCFB">
            <w:pPr>
              <w:pStyle w:val="3"/>
              <w:spacing w:line="240" w:lineRule="auto"/>
              <w:ind w:left="0" w:firstLine="0" w:firstLineChars="0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b</w:t>
            </w:r>
            <w:r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 xml:space="preserve">) 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设计质量保证及措施，是否拥有内部设计文件管理规范；</w:t>
            </w:r>
          </w:p>
          <w:p w14:paraId="4547E9BA">
            <w:pPr>
              <w:pStyle w:val="3"/>
              <w:spacing w:line="240" w:lineRule="auto"/>
              <w:ind w:left="0" w:firstLine="0" w:firstLineChars="0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c</w:t>
            </w:r>
            <w:r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 xml:space="preserve">) 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设计服务措施：设计前期技术服务措施、施工期间的配合措施、设计后续服务措施等。</w:t>
            </w:r>
          </w:p>
          <w:p w14:paraId="2D0920A3">
            <w:pPr>
              <w:pStyle w:val="3"/>
              <w:spacing w:line="240" w:lineRule="auto"/>
              <w:ind w:left="0" w:firstLine="0" w:firstLineChars="0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d) 设计项目认识：对本项目的理解、难点等，可提供基础平面</w:t>
            </w:r>
            <w:bookmarkStart w:id="0" w:name="_GoBack"/>
            <w:bookmarkEnd w:id="0"/>
            <w:r>
              <w:rPr>
                <w:rFonts w:hint="eastAsia" w:asci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方案或面谈讲述。</w:t>
            </w:r>
          </w:p>
          <w:p w14:paraId="73A0A01D">
            <w:pPr>
              <w:widowControl/>
              <w:spacing w:line="240" w:lineRule="auto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实施方案仔细、可行、合理（优：1</w:t>
            </w:r>
            <w:r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-</w:t>
            </w:r>
            <w:r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分，良：</w:t>
            </w:r>
            <w:r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-</w:t>
            </w:r>
            <w:r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12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分，差：0-</w:t>
            </w:r>
            <w:r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分）。</w:t>
            </w:r>
          </w:p>
        </w:tc>
        <w:tc>
          <w:tcPr>
            <w:tcW w:w="498" w:type="pct"/>
            <w:noWrap w:val="0"/>
            <w:vAlign w:val="center"/>
          </w:tcPr>
          <w:p w14:paraId="1456F5FF">
            <w:pPr>
              <w:widowControl/>
              <w:ind w:right="4729" w:rightChars="2252"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  <w:tc>
          <w:tcPr>
            <w:tcW w:w="498" w:type="pct"/>
            <w:noWrap w:val="0"/>
            <w:vAlign w:val="center"/>
          </w:tcPr>
          <w:p w14:paraId="00E3D6DF">
            <w:pPr>
              <w:widowControl/>
              <w:ind w:right="4729" w:rightChars="2252"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57959D2B">
            <w:pPr>
              <w:widowControl/>
              <w:ind w:right="4729" w:rightChars="2252"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</w:tr>
      <w:tr w14:paraId="225B6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249" w:type="pct"/>
            <w:noWrap w:val="0"/>
            <w:vAlign w:val="center"/>
          </w:tcPr>
          <w:p w14:paraId="54EFEAC4">
            <w:pPr>
              <w:widowControl/>
              <w:tabs>
                <w:tab w:val="right" w:leader="dot" w:pos="9060"/>
              </w:tabs>
              <w:autoSpaceDE w:val="0"/>
              <w:autoSpaceDN w:val="0"/>
              <w:adjustRightInd w:val="0"/>
              <w:ind w:right="-105" w:rightChars="-50"/>
              <w:jc w:val="center"/>
              <w:rPr>
                <w:rFonts w:hint="eastAsia" w:ascii="宋体" w:hAnsi="宋体" w:cs="宋体"/>
                <w:color w:val="0D0D0D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D0D0D"/>
                <w:kern w:val="0"/>
                <w:szCs w:val="21"/>
              </w:rPr>
              <w:t>2</w:t>
            </w:r>
          </w:p>
        </w:tc>
        <w:tc>
          <w:tcPr>
            <w:tcW w:w="797" w:type="pct"/>
            <w:noWrap w:val="0"/>
            <w:vAlign w:val="center"/>
          </w:tcPr>
          <w:p w14:paraId="086C84DC">
            <w:pPr>
              <w:widowControl/>
              <w:suppressLineNumbers/>
              <w:suppressAutoHyphens/>
              <w:kinsoku w:val="0"/>
              <w:snapToGrid w:val="0"/>
              <w:ind w:left="6" w:hanging="6" w:hangingChars="3"/>
              <w:jc w:val="center"/>
              <w:textAlignment w:val="center"/>
              <w:rPr>
                <w:rFonts w:hint="eastAsia" w:ascii="宋体" w:hAnsi="宋体"/>
                <w:snapToGrid w:val="0"/>
                <w:color w:val="0D0D0D"/>
                <w:kern w:val="0"/>
                <w:szCs w:val="21"/>
              </w:rPr>
            </w:pPr>
            <w:r>
              <w:rPr>
                <w:rFonts w:hint="eastAsia" w:ascii="宋体"/>
                <w:color w:val="0D0D0D"/>
                <w:kern w:val="0"/>
                <w:szCs w:val="21"/>
              </w:rPr>
              <w:t>拟负责本项目负责人的专业水平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（10分）</w:t>
            </w:r>
          </w:p>
        </w:tc>
        <w:tc>
          <w:tcPr>
            <w:tcW w:w="2392" w:type="pct"/>
            <w:noWrap w:val="0"/>
            <w:vAlign w:val="center"/>
          </w:tcPr>
          <w:p w14:paraId="67EBA45E">
            <w:pPr>
              <w:widowControl/>
              <w:suppressLineNumbers/>
              <w:suppressAutoHyphens/>
              <w:kinsoku w:val="0"/>
              <w:snapToGrid w:val="0"/>
              <w:ind w:left="4" w:leftChars="2"/>
              <w:textAlignment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项目</w:t>
            </w:r>
            <w:r>
              <w:rPr>
                <w:rFonts w:hint="eastAsia" w:ascii="宋体" w:hAnsi="宋体"/>
                <w:kern w:val="0"/>
                <w:szCs w:val="21"/>
              </w:rPr>
              <w:t>负责人学历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职称</w:t>
            </w:r>
            <w:r>
              <w:rPr>
                <w:rFonts w:hint="eastAsia" w:ascii="宋体" w:hAnsi="宋体"/>
                <w:kern w:val="0"/>
                <w:szCs w:val="21"/>
              </w:rPr>
              <w:t>、经验丰富、荣誉、是否合适本项目等（</w:t>
            </w:r>
            <w:r>
              <w:rPr>
                <w:rFonts w:hint="eastAsia" w:ascii="宋体" w:hAnsi="宋体"/>
                <w:bCs/>
                <w:kern w:val="0"/>
                <w:szCs w:val="21"/>
              </w:rPr>
              <w:t>优：7-10分，良：4-6分，差：0-3分</w:t>
            </w:r>
            <w:r>
              <w:rPr>
                <w:rFonts w:hint="eastAsia" w:ascii="宋体" w:hAnsi="宋体"/>
                <w:bCs/>
                <w:kern w:val="0"/>
                <w:szCs w:val="21"/>
                <w:lang w:eastAsia="zh-CN"/>
              </w:rPr>
              <w:t>，</w:t>
            </w:r>
            <w:r>
              <w:t>须提供人员的证书及近三个月的社保证明文件的复印件加盖公章，不提供不得分。</w:t>
            </w:r>
            <w:r>
              <w:rPr>
                <w:rFonts w:hint="eastAsia"/>
                <w:lang w:val="en-US" w:eastAsia="zh-CN"/>
              </w:rPr>
              <w:t>提供的项目负责人需与后续对接人员一致。</w:t>
            </w:r>
            <w:r>
              <w:t>）</w:t>
            </w:r>
          </w:p>
        </w:tc>
        <w:tc>
          <w:tcPr>
            <w:tcW w:w="498" w:type="pct"/>
            <w:noWrap w:val="0"/>
            <w:vAlign w:val="center"/>
          </w:tcPr>
          <w:p w14:paraId="38E4FCB7">
            <w:pPr>
              <w:widowControl/>
              <w:suppressLineNumbers/>
              <w:suppressAutoHyphens/>
              <w:kinsoku w:val="0"/>
              <w:snapToGrid w:val="0"/>
              <w:ind w:left="4" w:leftChars="2"/>
              <w:jc w:val="center"/>
              <w:textAlignment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  <w:tc>
          <w:tcPr>
            <w:tcW w:w="498" w:type="pct"/>
            <w:noWrap w:val="0"/>
            <w:vAlign w:val="center"/>
          </w:tcPr>
          <w:p w14:paraId="31B8CF59">
            <w:pPr>
              <w:widowControl/>
              <w:suppressLineNumbers/>
              <w:suppressAutoHyphens/>
              <w:kinsoku w:val="0"/>
              <w:snapToGrid w:val="0"/>
              <w:ind w:left="4" w:leftChars="2"/>
              <w:jc w:val="center"/>
              <w:textAlignment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3C154CAF">
            <w:pPr>
              <w:widowControl/>
              <w:suppressLineNumbers/>
              <w:suppressAutoHyphens/>
              <w:kinsoku w:val="0"/>
              <w:snapToGrid w:val="0"/>
              <w:ind w:left="4" w:leftChars="2"/>
              <w:jc w:val="center"/>
              <w:textAlignment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</w:tr>
      <w:tr w14:paraId="419CD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49" w:type="pct"/>
            <w:noWrap w:val="0"/>
            <w:vAlign w:val="center"/>
          </w:tcPr>
          <w:p w14:paraId="65272BEC">
            <w:pPr>
              <w:widowControl/>
              <w:tabs>
                <w:tab w:val="right" w:leader="dot" w:pos="9060"/>
              </w:tabs>
              <w:autoSpaceDE w:val="0"/>
              <w:autoSpaceDN w:val="0"/>
              <w:adjustRightInd w:val="0"/>
              <w:ind w:right="-105" w:rightChars="-50"/>
              <w:jc w:val="center"/>
              <w:rPr>
                <w:rFonts w:hint="eastAsia" w:ascii="宋体" w:hAnsi="宋体" w:cs="宋体"/>
                <w:color w:val="0D0D0D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D0D0D"/>
                <w:kern w:val="0"/>
                <w:szCs w:val="21"/>
              </w:rPr>
              <w:t>3</w:t>
            </w:r>
          </w:p>
        </w:tc>
        <w:tc>
          <w:tcPr>
            <w:tcW w:w="797" w:type="pct"/>
            <w:noWrap w:val="0"/>
            <w:vAlign w:val="center"/>
          </w:tcPr>
          <w:p w14:paraId="7E7F5DB8">
            <w:pPr>
              <w:widowControl/>
              <w:suppressLineNumbers/>
              <w:suppressAutoHyphens/>
              <w:kinsoku w:val="0"/>
              <w:snapToGrid w:val="0"/>
              <w:ind w:left="6" w:hanging="6" w:hangingChars="3"/>
              <w:jc w:val="center"/>
              <w:textAlignment w:val="center"/>
              <w:rPr>
                <w:rFonts w:hint="eastAsia" w:ascii="宋体" w:hAnsi="宋体"/>
                <w:snapToGrid w:val="0"/>
                <w:color w:val="0D0D0D"/>
                <w:kern w:val="0"/>
                <w:szCs w:val="21"/>
              </w:rPr>
            </w:pPr>
            <w:r>
              <w:rPr>
                <w:rFonts w:hint="eastAsia" w:ascii="宋体"/>
                <w:color w:val="0D0D0D"/>
                <w:kern w:val="0"/>
                <w:szCs w:val="21"/>
              </w:rPr>
              <w:t>拟投入本项目人员情况（</w:t>
            </w:r>
            <w:r>
              <w:rPr>
                <w:rFonts w:hint="eastAsia" w:ascii="宋体"/>
                <w:color w:val="0D0D0D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宋体"/>
                <w:color w:val="0D0D0D"/>
                <w:kern w:val="0"/>
                <w:szCs w:val="21"/>
              </w:rPr>
              <w:t>分）</w:t>
            </w:r>
          </w:p>
        </w:tc>
        <w:tc>
          <w:tcPr>
            <w:tcW w:w="2392" w:type="pct"/>
            <w:noWrap w:val="0"/>
            <w:vAlign w:val="center"/>
          </w:tcPr>
          <w:p w14:paraId="10D8E64F">
            <w:pPr>
              <w:widowControl/>
              <w:suppressLineNumbers/>
              <w:suppressAutoHyphens/>
              <w:kinsoku w:val="0"/>
              <w:snapToGrid w:val="0"/>
              <w:ind w:left="4" w:leftChars="2"/>
              <w:textAlignment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投入技术人员数量、素质、经验等</w:t>
            </w:r>
            <w:r>
              <w:rPr>
                <w:rFonts w:hint="eastAsia" w:ascii="宋体" w:hAnsi="宋体"/>
                <w:bCs/>
                <w:kern w:val="0"/>
                <w:szCs w:val="21"/>
              </w:rPr>
              <w:t>优：</w:t>
            </w:r>
            <w:r>
              <w:rPr>
                <w:rFonts w:hint="eastAsia" w:ascii="宋体" w:hAnsi="宋体"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kern w:val="0"/>
                <w:szCs w:val="21"/>
              </w:rPr>
              <w:t>7-10分，良：4-6分，差：0-3分</w:t>
            </w:r>
            <w:r>
              <w:rPr>
                <w:rFonts w:hint="eastAsia" w:ascii="宋体" w:hAnsi="宋体"/>
                <w:bCs/>
                <w:kern w:val="0"/>
                <w:szCs w:val="21"/>
                <w:lang w:eastAsia="zh-CN"/>
              </w:rPr>
              <w:t>，</w:t>
            </w:r>
            <w:r>
              <w:t>须提供人员的证书及近三个月的社保证明文件的复印件加盖公章，不提供不得分。</w:t>
            </w:r>
            <w:r>
              <w:rPr>
                <w:rFonts w:hint="eastAsia"/>
                <w:lang w:val="en-US" w:eastAsia="zh-CN"/>
              </w:rPr>
              <w:t>提供的技术人员需与后续出图设计签字人员一致。</w:t>
            </w:r>
            <w:r>
              <w:rPr>
                <w:rFonts w:hint="eastAsia" w:ascii="宋体" w:hAnsi="宋体"/>
                <w:kern w:val="0"/>
                <w:szCs w:val="21"/>
              </w:rPr>
              <w:t>）</w:t>
            </w:r>
          </w:p>
        </w:tc>
        <w:tc>
          <w:tcPr>
            <w:tcW w:w="498" w:type="pct"/>
            <w:noWrap w:val="0"/>
            <w:vAlign w:val="center"/>
          </w:tcPr>
          <w:p w14:paraId="061C6794">
            <w:pPr>
              <w:widowControl/>
              <w:suppressLineNumbers/>
              <w:suppressAutoHyphens/>
              <w:kinsoku w:val="0"/>
              <w:snapToGrid w:val="0"/>
              <w:ind w:left="4" w:leftChars="2"/>
              <w:jc w:val="center"/>
              <w:textAlignment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  <w:tc>
          <w:tcPr>
            <w:tcW w:w="498" w:type="pct"/>
            <w:noWrap w:val="0"/>
            <w:vAlign w:val="center"/>
          </w:tcPr>
          <w:p w14:paraId="2161D1ED">
            <w:pPr>
              <w:widowControl/>
              <w:suppressLineNumbers/>
              <w:suppressAutoHyphens/>
              <w:kinsoku w:val="0"/>
              <w:snapToGrid w:val="0"/>
              <w:ind w:left="4" w:leftChars="2"/>
              <w:jc w:val="center"/>
              <w:textAlignment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144489E8">
            <w:pPr>
              <w:widowControl/>
              <w:suppressLineNumbers/>
              <w:suppressAutoHyphens/>
              <w:kinsoku w:val="0"/>
              <w:snapToGrid w:val="0"/>
              <w:ind w:left="4" w:leftChars="2"/>
              <w:jc w:val="center"/>
              <w:textAlignment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</w:tr>
      <w:tr w14:paraId="342F5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249" w:type="pct"/>
            <w:noWrap w:val="0"/>
            <w:vAlign w:val="center"/>
          </w:tcPr>
          <w:p w14:paraId="0242C783">
            <w:pPr>
              <w:widowControl/>
              <w:tabs>
                <w:tab w:val="right" w:leader="dot" w:pos="9060"/>
              </w:tabs>
              <w:autoSpaceDE w:val="0"/>
              <w:autoSpaceDN w:val="0"/>
              <w:adjustRightInd w:val="0"/>
              <w:ind w:right="-105" w:rightChars="-50"/>
              <w:jc w:val="center"/>
              <w:rPr>
                <w:rFonts w:hint="eastAsia" w:ascii="宋体" w:hAnsi="宋体" w:eastAsia="宋体" w:cs="宋体"/>
                <w:color w:val="0D0D0D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D0D0D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97" w:type="pct"/>
            <w:noWrap w:val="0"/>
            <w:vAlign w:val="center"/>
          </w:tcPr>
          <w:p w14:paraId="0036DAF0">
            <w:pPr>
              <w:widowControl/>
              <w:suppressLineNumbers/>
              <w:suppressAutoHyphens/>
              <w:kinsoku w:val="0"/>
              <w:snapToGrid w:val="0"/>
              <w:ind w:left="6" w:leftChars="0" w:hanging="6" w:hangingChars="3"/>
              <w:jc w:val="center"/>
              <w:textAlignment w:val="center"/>
              <w:rPr>
                <w:rFonts w:hint="eastAsia" w:ascii="宋体" w:hAnsi="宋体"/>
                <w:snapToGrid w:val="0"/>
                <w:color w:val="0D0D0D"/>
                <w:kern w:val="0"/>
                <w:szCs w:val="21"/>
              </w:rPr>
            </w:pPr>
            <w:r>
              <w:rPr>
                <w:rFonts w:hint="eastAsia" w:ascii="宋体"/>
                <w:color w:val="0D0D0D"/>
                <w:kern w:val="0"/>
                <w:szCs w:val="21"/>
              </w:rPr>
              <w:t>公司综合实力、信誉情况（</w:t>
            </w:r>
            <w:r>
              <w:rPr>
                <w:rFonts w:hint="eastAsia" w:ascii="宋体"/>
                <w:color w:val="0D0D0D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宋体"/>
                <w:color w:val="0D0D0D"/>
                <w:kern w:val="0"/>
                <w:szCs w:val="21"/>
              </w:rPr>
              <w:t>分）</w:t>
            </w:r>
          </w:p>
        </w:tc>
        <w:tc>
          <w:tcPr>
            <w:tcW w:w="2392" w:type="pct"/>
            <w:noWrap w:val="0"/>
            <w:vAlign w:val="center"/>
          </w:tcPr>
          <w:p w14:paraId="2856C629">
            <w:pPr>
              <w:widowControl/>
              <w:spacing w:line="240" w:lineRule="auto"/>
              <w:rPr>
                <w:rFonts w:ascii="宋体" w:hAnsi="宋体"/>
                <w:color w:val="0D0D0D"/>
                <w:kern w:val="0"/>
                <w:szCs w:val="21"/>
              </w:rPr>
            </w:pPr>
            <w:r>
              <w:t>投标人获得过地市级或以上相关荣誉、奖励等证书，每种证书得</w:t>
            </w:r>
            <w:r>
              <w:rPr>
                <w:rFonts w:hint="eastAsia"/>
                <w:lang w:val="en-US" w:eastAsia="zh-CN"/>
              </w:rPr>
              <w:t>2</w:t>
            </w:r>
            <w:r>
              <w:t>分，最高得</w:t>
            </w:r>
            <w:r>
              <w:rPr>
                <w:rFonts w:hint="eastAsia"/>
                <w:lang w:val="en-US" w:eastAsia="zh-CN"/>
              </w:rPr>
              <w:t>10</w:t>
            </w:r>
            <w:r>
              <w:t>分。须提供有效的证书复印件并加盖投标人公章，无提供不得分。</w:t>
            </w:r>
          </w:p>
        </w:tc>
        <w:tc>
          <w:tcPr>
            <w:tcW w:w="498" w:type="pct"/>
            <w:noWrap w:val="0"/>
            <w:vAlign w:val="center"/>
          </w:tcPr>
          <w:p w14:paraId="2FDF1236">
            <w:pPr>
              <w:widowControl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  <w:tc>
          <w:tcPr>
            <w:tcW w:w="498" w:type="pct"/>
            <w:noWrap w:val="0"/>
            <w:vAlign w:val="center"/>
          </w:tcPr>
          <w:p w14:paraId="1962D995">
            <w:pPr>
              <w:widowControl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2F0FA760">
            <w:pPr>
              <w:widowControl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</w:tr>
      <w:tr w14:paraId="41DD6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249" w:type="pct"/>
            <w:noWrap w:val="0"/>
            <w:vAlign w:val="center"/>
          </w:tcPr>
          <w:p w14:paraId="074465AA">
            <w:pPr>
              <w:widowControl/>
              <w:tabs>
                <w:tab w:val="right" w:leader="dot" w:pos="9060"/>
              </w:tabs>
              <w:autoSpaceDE w:val="0"/>
              <w:autoSpaceDN w:val="0"/>
              <w:adjustRightInd w:val="0"/>
              <w:ind w:right="-105" w:rightChars="-50"/>
              <w:jc w:val="center"/>
              <w:rPr>
                <w:rFonts w:hint="eastAsia" w:ascii="宋体" w:hAnsi="宋体" w:eastAsia="宋体" w:cs="宋体"/>
                <w:color w:val="0D0D0D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D0D0D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97" w:type="pct"/>
            <w:noWrap w:val="0"/>
            <w:vAlign w:val="center"/>
          </w:tcPr>
          <w:p w14:paraId="7BB9B3DB">
            <w:pPr>
              <w:bidi w:val="0"/>
              <w:rPr>
                <w:rFonts w:hint="eastAsia" w:ascii="宋体"/>
                <w:color w:val="0D0D0D"/>
                <w:kern w:val="0"/>
                <w:szCs w:val="21"/>
              </w:rPr>
            </w:pPr>
            <w:r>
              <w:rPr>
                <w:rFonts w:hint="eastAsia"/>
                <w:kern w:val="28"/>
                <w:szCs w:val="21"/>
              </w:rPr>
              <w:t>建筑装饰装修工程</w:t>
            </w:r>
            <w:r>
              <w:rPr>
                <w:rFonts w:hint="eastAsia" w:ascii="宋体"/>
                <w:color w:val="0D0D0D"/>
                <w:kern w:val="0"/>
                <w:szCs w:val="21"/>
              </w:rPr>
              <w:t>的相关业绩</w:t>
            </w:r>
            <w:r>
              <w:rPr>
                <w:rFonts w:hint="eastAsia" w:ascii="宋体" w:hAnsi="宋体"/>
                <w:snapToGrid w:val="0"/>
                <w:color w:val="0D0D0D"/>
                <w:kern w:val="0"/>
                <w:szCs w:val="21"/>
              </w:rPr>
              <w:t>（</w:t>
            </w:r>
            <w:r>
              <w:rPr>
                <w:rFonts w:hint="eastAsia" w:ascii="宋体" w:hAnsi="宋体"/>
                <w:snapToGrid w:val="0"/>
                <w:color w:val="0D0D0D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snapToGrid w:val="0"/>
                <w:color w:val="0D0D0D"/>
                <w:kern w:val="0"/>
                <w:szCs w:val="21"/>
              </w:rPr>
              <w:t>分）</w:t>
            </w:r>
          </w:p>
        </w:tc>
        <w:tc>
          <w:tcPr>
            <w:tcW w:w="2392" w:type="pct"/>
            <w:noWrap w:val="0"/>
            <w:vAlign w:val="center"/>
          </w:tcPr>
          <w:p w14:paraId="200CFECA">
            <w:pPr>
              <w:widowControl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企业自20</w:t>
            </w:r>
            <w:r>
              <w:rPr>
                <w:rFonts w:hint="eastAsia" w:ascii="宋体" w:hAnsi="宋体"/>
                <w:color w:val="0D0D0D"/>
                <w:kern w:val="0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年1月至今(以合同签订时间为准)</w:t>
            </w:r>
            <w:r>
              <w:rPr>
                <w:rFonts w:hint="eastAsia"/>
                <w:kern w:val="28"/>
                <w:szCs w:val="21"/>
              </w:rPr>
              <w:t xml:space="preserve"> 建筑装饰装修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工程设计业绩。设计费金额在10万以上（含10万）每个得</w:t>
            </w:r>
            <w:r>
              <w:rPr>
                <w:rFonts w:hint="eastAsia" w:ascii="宋体" w:hAnsi="宋体"/>
                <w:color w:val="0D0D0D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分；满分</w:t>
            </w:r>
            <w:r>
              <w:rPr>
                <w:rFonts w:hint="eastAsia" w:ascii="宋体" w:hAnsi="宋体"/>
                <w:color w:val="0D0D0D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 xml:space="preserve">分, </w:t>
            </w:r>
            <w:r>
              <w:t>须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提供合同复印件</w:t>
            </w:r>
            <w:r>
              <w:rPr>
                <w:rFonts w:hint="eastAsia" w:ascii="宋体" w:hAnsi="宋体"/>
                <w:color w:val="0D0D0D"/>
                <w:kern w:val="0"/>
                <w:szCs w:val="21"/>
                <w:lang w:val="en-US" w:eastAsia="zh-CN"/>
              </w:rPr>
              <w:t>及相关设计资料</w:t>
            </w:r>
            <w:r>
              <w:t>，无提供不得分。</w:t>
            </w:r>
          </w:p>
        </w:tc>
        <w:tc>
          <w:tcPr>
            <w:tcW w:w="498" w:type="pct"/>
            <w:noWrap w:val="0"/>
            <w:vAlign w:val="center"/>
          </w:tcPr>
          <w:p w14:paraId="304D9C6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  <w:tc>
          <w:tcPr>
            <w:tcW w:w="498" w:type="pct"/>
            <w:noWrap w:val="0"/>
            <w:vAlign w:val="center"/>
          </w:tcPr>
          <w:p w14:paraId="2F40AA5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33F003C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</w:tr>
      <w:tr w14:paraId="62AE2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249" w:type="pct"/>
            <w:noWrap w:val="0"/>
            <w:vAlign w:val="center"/>
          </w:tcPr>
          <w:p w14:paraId="5B9FF821">
            <w:pPr>
              <w:widowControl/>
              <w:tabs>
                <w:tab w:val="right" w:leader="dot" w:pos="9060"/>
              </w:tabs>
              <w:autoSpaceDE w:val="0"/>
              <w:autoSpaceDN w:val="0"/>
              <w:adjustRightInd w:val="0"/>
              <w:ind w:right="-105" w:rightChars="-50"/>
              <w:jc w:val="center"/>
              <w:rPr>
                <w:rFonts w:hint="eastAsia" w:ascii="宋体" w:hAnsi="宋体" w:eastAsia="宋体" w:cs="宋体"/>
                <w:color w:val="0D0D0D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D0D0D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97" w:type="pct"/>
            <w:noWrap w:val="0"/>
            <w:vAlign w:val="center"/>
          </w:tcPr>
          <w:p w14:paraId="274BE776">
            <w:pPr>
              <w:pStyle w:val="4"/>
              <w:spacing w:after="0"/>
              <w:ind w:firstLine="210" w:firstLineChars="100"/>
              <w:jc w:val="center"/>
              <w:rPr>
                <w:rFonts w:hint="eastAsia" w:ascii="宋体"/>
                <w:color w:val="0D0D0D"/>
                <w:kern w:val="0"/>
                <w:szCs w:val="21"/>
              </w:rPr>
            </w:pPr>
            <w:r>
              <w:rPr>
                <w:rFonts w:hint="eastAsia" w:ascii="宋体"/>
                <w:color w:val="0D0D0D"/>
                <w:kern w:val="0"/>
                <w:szCs w:val="21"/>
                <w:lang w:val="en-US" w:eastAsia="zh-CN"/>
              </w:rPr>
              <w:t>设计工期的合理性</w:t>
            </w:r>
            <w:r>
              <w:rPr>
                <w:rFonts w:hint="eastAsia" w:ascii="宋体"/>
                <w:color w:val="0D0D0D"/>
                <w:kern w:val="0"/>
                <w:szCs w:val="21"/>
              </w:rPr>
              <w:t>（</w:t>
            </w:r>
            <w:r>
              <w:rPr>
                <w:rFonts w:hint="eastAsia" w:ascii="宋体"/>
                <w:color w:val="0D0D0D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/>
                <w:color w:val="0D0D0D"/>
                <w:kern w:val="0"/>
                <w:szCs w:val="21"/>
              </w:rPr>
              <w:t>分）</w:t>
            </w:r>
          </w:p>
        </w:tc>
        <w:tc>
          <w:tcPr>
            <w:tcW w:w="2392" w:type="pct"/>
            <w:noWrap w:val="0"/>
            <w:vAlign w:val="center"/>
          </w:tcPr>
          <w:p w14:paraId="4F6D0E74">
            <w:pPr>
              <w:widowControl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</w:t>
            </w:r>
            <w:r>
              <w:rPr>
                <w:rFonts w:hint="eastAsia" w:ascii="宋体" w:hAnsi="宋体"/>
                <w:bCs/>
                <w:kern w:val="0"/>
                <w:szCs w:val="21"/>
              </w:rPr>
              <w:t>优：4-5分，良：2-3分，差：0-1分</w:t>
            </w:r>
            <w:r>
              <w:rPr>
                <w:rFonts w:hint="eastAsia" w:ascii="宋体" w:hAnsi="宋体"/>
                <w:kern w:val="0"/>
                <w:szCs w:val="21"/>
              </w:rPr>
              <w:t>）</w:t>
            </w:r>
          </w:p>
        </w:tc>
        <w:tc>
          <w:tcPr>
            <w:tcW w:w="498" w:type="pct"/>
            <w:noWrap w:val="0"/>
            <w:vAlign w:val="center"/>
          </w:tcPr>
          <w:p w14:paraId="501B7EE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  <w:tc>
          <w:tcPr>
            <w:tcW w:w="498" w:type="pct"/>
            <w:noWrap w:val="0"/>
            <w:vAlign w:val="center"/>
          </w:tcPr>
          <w:p w14:paraId="0DCBB90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0F507B8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</w:tr>
      <w:tr w14:paraId="5F300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249" w:type="pct"/>
            <w:noWrap w:val="0"/>
            <w:vAlign w:val="center"/>
          </w:tcPr>
          <w:p w14:paraId="61E8243D">
            <w:pPr>
              <w:widowControl/>
              <w:tabs>
                <w:tab w:val="right" w:leader="dot" w:pos="9060"/>
              </w:tabs>
              <w:autoSpaceDE w:val="0"/>
              <w:autoSpaceDN w:val="0"/>
              <w:adjustRightInd w:val="0"/>
              <w:ind w:right="-105" w:rightChars="-50"/>
              <w:jc w:val="center"/>
              <w:rPr>
                <w:rFonts w:hint="eastAsia" w:ascii="宋体" w:hAnsi="宋体" w:cs="宋体"/>
                <w:color w:val="0D0D0D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D0D0D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97" w:type="pct"/>
            <w:noWrap w:val="0"/>
            <w:vAlign w:val="center"/>
          </w:tcPr>
          <w:p w14:paraId="00998E1C">
            <w:pPr>
              <w:pStyle w:val="4"/>
              <w:spacing w:after="0"/>
              <w:ind w:firstLine="210" w:firstLineChars="100"/>
              <w:jc w:val="center"/>
              <w:rPr>
                <w:rFonts w:hint="eastAsia" w:ascii="宋体"/>
                <w:color w:val="0D0D0D"/>
                <w:kern w:val="0"/>
                <w:szCs w:val="21"/>
              </w:rPr>
            </w:pPr>
            <w:r>
              <w:rPr>
                <w:rFonts w:hint="eastAsia" w:ascii="宋体"/>
                <w:color w:val="0D0D0D"/>
                <w:kern w:val="0"/>
                <w:szCs w:val="21"/>
              </w:rPr>
              <w:t>磋商价格的合理性（</w:t>
            </w:r>
            <w:r>
              <w:rPr>
                <w:rFonts w:hint="eastAsia" w:ascii="宋体"/>
                <w:color w:val="0D0D0D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/>
                <w:color w:val="0D0D0D"/>
                <w:kern w:val="0"/>
                <w:szCs w:val="21"/>
              </w:rPr>
              <w:t>分）</w:t>
            </w:r>
          </w:p>
        </w:tc>
        <w:tc>
          <w:tcPr>
            <w:tcW w:w="2392" w:type="pct"/>
            <w:noWrap w:val="0"/>
            <w:vAlign w:val="center"/>
          </w:tcPr>
          <w:p w14:paraId="63D49F21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D0D0D"/>
                <w:kern w:val="0"/>
                <w:szCs w:val="21"/>
              </w:rPr>
              <w:t>报价得分=经评审的有效报价下浮率/磋商基准下浮率 *</w:t>
            </w:r>
            <w:r>
              <w:rPr>
                <w:rFonts w:hint="eastAsia" w:ascii="宋体" w:hAnsi="宋体" w:cs="Times New Roman"/>
                <w:color w:val="0D0D0D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color w:val="0D0D0D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Times New Roman"/>
                <w:color w:val="0D0D0D"/>
                <w:kern w:val="0"/>
                <w:szCs w:val="21"/>
              </w:rPr>
              <w:t>*100%</w:t>
            </w:r>
          </w:p>
        </w:tc>
        <w:tc>
          <w:tcPr>
            <w:tcW w:w="498" w:type="pct"/>
            <w:noWrap w:val="0"/>
            <w:vAlign w:val="center"/>
          </w:tcPr>
          <w:p w14:paraId="4B85771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  <w:tc>
          <w:tcPr>
            <w:tcW w:w="498" w:type="pct"/>
            <w:noWrap w:val="0"/>
            <w:vAlign w:val="center"/>
          </w:tcPr>
          <w:p w14:paraId="68B95DA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237B52E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</w:tr>
      <w:tr w14:paraId="1FF5A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49" w:type="pct"/>
            <w:noWrap w:val="0"/>
            <w:vAlign w:val="center"/>
          </w:tcPr>
          <w:p w14:paraId="7D0C10E0">
            <w:pPr>
              <w:widowControl/>
              <w:tabs>
                <w:tab w:val="right" w:leader="dot" w:pos="9060"/>
              </w:tabs>
              <w:autoSpaceDE w:val="0"/>
              <w:autoSpaceDN w:val="0"/>
              <w:adjustRightInd w:val="0"/>
              <w:ind w:right="-105" w:rightChars="-50"/>
              <w:jc w:val="center"/>
              <w:rPr>
                <w:rFonts w:hint="default" w:ascii="宋体" w:hAnsi="宋体" w:cs="宋体"/>
                <w:color w:val="0D0D0D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D0D0D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97" w:type="pct"/>
            <w:noWrap w:val="0"/>
            <w:vAlign w:val="center"/>
          </w:tcPr>
          <w:p w14:paraId="1C2C2968">
            <w:pPr>
              <w:pStyle w:val="4"/>
              <w:spacing w:after="0"/>
              <w:ind w:firstLine="210" w:firstLineChars="100"/>
              <w:jc w:val="center"/>
              <w:rPr>
                <w:rFonts w:hint="default" w:ascii="宋体" w:eastAsia="宋体"/>
                <w:color w:val="0D0D0D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D0D0D"/>
                <w:kern w:val="0"/>
                <w:szCs w:val="21"/>
                <w:lang w:val="en-US" w:eastAsia="zh-CN"/>
              </w:rPr>
              <w:t>得分汇总</w:t>
            </w:r>
          </w:p>
        </w:tc>
        <w:tc>
          <w:tcPr>
            <w:tcW w:w="2392" w:type="pct"/>
            <w:noWrap w:val="0"/>
            <w:vAlign w:val="center"/>
          </w:tcPr>
          <w:p w14:paraId="32F3C677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hint="eastAsia" w:ascii="宋体" w:hAnsi="宋体" w:eastAsia="宋体" w:cs="Times New Roman"/>
                <w:color w:val="0D0D0D"/>
                <w:kern w:val="0"/>
                <w:szCs w:val="21"/>
              </w:rPr>
            </w:pPr>
          </w:p>
        </w:tc>
        <w:tc>
          <w:tcPr>
            <w:tcW w:w="498" w:type="pct"/>
            <w:noWrap w:val="0"/>
            <w:vAlign w:val="center"/>
          </w:tcPr>
          <w:p w14:paraId="611DD14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  <w:tc>
          <w:tcPr>
            <w:tcW w:w="498" w:type="pct"/>
            <w:noWrap w:val="0"/>
            <w:vAlign w:val="center"/>
          </w:tcPr>
          <w:p w14:paraId="432580A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40942F2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kern w:val="0"/>
                <w:szCs w:val="21"/>
              </w:rPr>
            </w:pPr>
          </w:p>
        </w:tc>
      </w:tr>
    </w:tbl>
    <w:p w14:paraId="21DBA41C">
      <w:pPr>
        <w:rPr>
          <w:rFonts w:hint="eastAsia"/>
          <w:lang w:val="en-US" w:eastAsia="zh-CN"/>
        </w:rPr>
      </w:pPr>
    </w:p>
    <w:p w14:paraId="07408141">
      <w:r>
        <w:rPr>
          <w:rFonts w:hint="eastAsia"/>
          <w:lang w:val="en-US" w:eastAsia="zh-CN"/>
        </w:rPr>
        <w:t>评委：           日期：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66640"/>
    <w:rsid w:val="0F6239E3"/>
    <w:rsid w:val="1938710D"/>
    <w:rsid w:val="28104FE4"/>
    <w:rsid w:val="44760499"/>
    <w:rsid w:val="7B91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8"/>
      <w:szCs w:val="28"/>
    </w:rPr>
  </w:style>
  <w:style w:type="paragraph" w:styleId="3">
    <w:name w:val="Body Text Indent"/>
    <w:basedOn w:val="1"/>
    <w:qFormat/>
    <w:uiPriority w:val="0"/>
    <w:pPr>
      <w:autoSpaceDE w:val="0"/>
      <w:autoSpaceDN w:val="0"/>
      <w:adjustRightInd w:val="0"/>
      <w:spacing w:line="546" w:lineRule="atLeast"/>
      <w:ind w:firstLine="640" w:firstLineChars="200"/>
      <w:jc w:val="left"/>
    </w:pPr>
    <w:rPr>
      <w:rFonts w:ascii="仿宋_GB2312" w:eastAsia="仿宋_GB2312"/>
      <w:color w:val="000000"/>
      <w:kern w:val="0"/>
      <w:sz w:val="32"/>
      <w:szCs w:val="32"/>
    </w:rPr>
  </w:style>
  <w:style w:type="paragraph" w:styleId="4">
    <w:name w:val="Body Text First Indent"/>
    <w:basedOn w:val="2"/>
    <w:qFormat/>
    <w:uiPriority w:val="0"/>
    <w:pPr>
      <w:spacing w:after="120"/>
      <w:ind w:firstLine="420" w:firstLineChars="100"/>
    </w:pPr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665</Words>
  <Characters>722</Characters>
  <Lines>0</Lines>
  <Paragraphs>0</Paragraphs>
  <TotalTime>17</TotalTime>
  <ScaleCrop>false</ScaleCrop>
  <LinksUpToDate>false</LinksUpToDate>
  <CharactersWithSpaces>739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2025-02-20T07:58:00Z</dcterms:created>
  <dc:creator>Administrator</dc:creator>
  <cp:lastModifiedBy>JoJo</cp:lastModifiedBy>
  <dcterms:modified xsi:type="dcterms:W3CDTF">2025-02-26T08:34:56Z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eyJoZGlkIjoiOTg3NDQ4Y2NjOGI2NjM5ZjdlZjcyOTU1NWI2ODhjNjIiLCJ1c2VySWQiOiI2MzY2NDg3MzIifQ==</vt:lpwstr>
  </property>
  <property fmtid="{D5CDD505-2E9C-101B-9397-08002B2CF9AE}" pid="4" name="ICV">
    <vt:lpwstr>2C4AA430F0724F14A07CBAD425BD49CA_12</vt:lpwstr>
  </property>
</Properties>
</file>