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ind w:firstLine="900" w:firstLineChars="30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bookmarkStart w:id="0" w:name="_GoBack"/>
      <w:bookmarkEnd w:id="0"/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临床医学和口腔医学博士专业学位临床能力考核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（一）考核的组织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E-BZ-PK74834-Identity-H"/>
          <w:kern w:val="0"/>
          <w:sz w:val="30"/>
          <w:szCs w:val="30"/>
        </w:rPr>
        <w:t>１．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博士研究生的临床能力考核和论文答辩一起进行，组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成临床能力考核和论文答辩委员会（以下简称“考核答辩委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员会”），对博士学位申请人进行毕业临床能力考核和学位论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文答辩。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E-BZ-PK74834-Identity-H"/>
          <w:kern w:val="0"/>
          <w:sz w:val="30"/>
          <w:szCs w:val="30"/>
        </w:rPr>
        <w:t>２．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考核答辩委员会的组成。考核答辩委员会由教研室从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本学科和相关学科、专业中选出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7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位具有正高级专业技术职务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的专家组成，其中校外专家不少于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2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名，主席必须由相应的临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床医学或口腔医学博士研究生导师担任，另配备秘书、记录员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各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１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人。考核答辩委员会成员名单经医院批准后报学校研究生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院审核，校学位评定委员会审批。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E-BZ-PK74834-Identity-H"/>
          <w:kern w:val="0"/>
          <w:sz w:val="30"/>
          <w:szCs w:val="30"/>
        </w:rPr>
        <w:t>３．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组织工作由研究生所在教研室负责。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（二）考核要求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考核博士学位申请人是否具有较严密的逻辑思维和较强的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分析问题、解决问题的能力，是否熟练地掌握本学科的技能，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能否独立处理本学科常见病及某些疑难病症，是否掌握本学科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系统深入的专业知识，达到初年主治医师水平。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（三）考核内容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E-BZ-PK74834-Identity-H"/>
          <w:kern w:val="0"/>
          <w:sz w:val="30"/>
          <w:szCs w:val="30"/>
        </w:rPr>
        <w:t>１．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诊疗技术操作。诊疗技术操作着重考核考生诊疗技术或手术操作的规范性、关键问题的处理以及技术的熟练程度与应变能力。病例的选择标准应符合初年主治医师应掌握的病种和手术类型，可以是疑难病症。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E-BZ-PK74834-Identity-H"/>
          <w:kern w:val="0"/>
          <w:sz w:val="30"/>
          <w:szCs w:val="30"/>
        </w:rPr>
        <w:t>２．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教学查房。考生根据考核答辩委员会的要求，对提供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的病例进行主治医师教学查房。先由下级医生汇报病史并进行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病情分析，通过考察考生对下级医生提问、讨论等教学内容，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委员对考生的体检操作指导能力、临床分析能力、启发教学、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E-BZ-PK7483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归纳总结能力以及为人师表等方面进行评价。时间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３０～４０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分钟。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E-BZ-PK74834-Identity-H"/>
          <w:kern w:val="0"/>
          <w:sz w:val="30"/>
          <w:szCs w:val="30"/>
        </w:rPr>
        <w:t>３．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病例答辩：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（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１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）由考核答辩委员会选择本学科一位未经考生诊治的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E-BZ-PK7483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住院病例（该病例可与教学查房的病例相同），给考生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３０～４０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分钟对该病例进行分析，写出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１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份较为详细的病例分析报告，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包括诊断、鉴别诊断以及治疗方案，病情变化处理原则。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（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２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）考核答辩委员会就该病例和考生提交的病例分析报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告进行广泛的提问，由考生回答（所需的有关检查结果可由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考生提出后由考核答辩委员会提供）。着重考核考生对基础理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论及专业知识掌握的广度和深度，对临床疑难病例的处理能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力、临床思维能力以及对有关学科发展动向的了解程度。时间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E-BZ-PK74834-Identity-H"/>
          <w:kern w:val="0"/>
          <w:sz w:val="30"/>
          <w:szCs w:val="30"/>
        </w:rPr>
        <w:t>４０～５０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分钟。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E-BZ-PK74834-Identity-H"/>
          <w:kern w:val="0"/>
          <w:sz w:val="30"/>
          <w:szCs w:val="30"/>
        </w:rPr>
        <w:t>４．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病历评估。随机抽取考生经治的完整的疑难病症病历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资料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３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份，供考核答辩委员会评估。评估项目包括病历是否规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范、完整；诊断是否正确；处理是否及时得当；是否具备处理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疑难病症的能力等。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（四）成绩评定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临床能力考核成绩评定实行百分制，按照《临床医学和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口腔医学博士专业学位临床能力考核评分表》中的各项评分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指标进行评分。由考核答辩委员分别进行无记名评分，其平均</w:t>
      </w:r>
    </w:p>
    <w:p>
      <w:pPr>
        <w:autoSpaceDE w:val="0"/>
        <w:autoSpaceDN w:val="0"/>
        <w:adjustRightInd w:val="0"/>
        <w:jc w:val="left"/>
        <w:rPr>
          <w:rFonts w:ascii="楷体" w:hAnsi="楷体" w:eastAsia="楷体" w:cs="SSJ-PK74820000004-Identity-H"/>
          <w:kern w:val="0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分数为考生的临床能力考核成绩。临床能力考核成绩以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６０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分</w:t>
      </w:r>
    </w:p>
    <w:p>
      <w:pPr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为及格、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７０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分为合格、</w:t>
      </w:r>
      <w:r>
        <w:rPr>
          <w:rFonts w:hint="eastAsia" w:ascii="楷体" w:hAnsi="楷体" w:eastAsia="楷体" w:cs="E-BZ-PK74834-Identity-H"/>
          <w:kern w:val="0"/>
          <w:sz w:val="30"/>
          <w:szCs w:val="30"/>
        </w:rPr>
        <w:t>８５</w:t>
      </w:r>
      <w:r>
        <w:rPr>
          <w:rFonts w:hint="eastAsia" w:ascii="楷体" w:hAnsi="楷体" w:eastAsia="楷体" w:cs="SSJ-PK74820000004-Identity-H"/>
          <w:kern w:val="0"/>
          <w:sz w:val="30"/>
          <w:szCs w:val="30"/>
        </w:rPr>
        <w:t>分为优秀。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SJ-PK74820000004-Identity-H">
    <w:altName w:val="hakuyoxingshu7000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BZ-PK74834-Identity-H">
    <w:altName w:val="hakuyoxingshu7000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33C"/>
    <w:rsid w:val="0016433C"/>
    <w:rsid w:val="00450A42"/>
    <w:rsid w:val="5914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169</Words>
  <Characters>966</Characters>
  <Lines>8</Lines>
  <Paragraphs>2</Paragraphs>
  <TotalTime>6</TotalTime>
  <ScaleCrop>false</ScaleCrop>
  <LinksUpToDate>false</LinksUpToDate>
  <CharactersWithSpaces>1133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2018-05-08T01:31:00Z</dcterms:created>
  <dc:creator>Administrator</dc:creator>
  <cp:lastModifiedBy>研究生科</cp:lastModifiedBy>
  <dcterms:modified xsi:type="dcterms:W3CDTF">2022-05-10T07:00:43Z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